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Załącznik 1. Założenia Kalkulatora i ich status</w:t>
      </w:r>
    </w:p>
    <w:p>
      <w:r>
        <w:rPr>
          <w:i/>
        </w:rPr>
        <w:t>Wersja robocza dla Fundacji Nowe Przestrzenie, 3 października 2026 r. Stan kodu: 2026.39.2.1. Dotyczy pytań 15–18 briefu.</w:t>
      </w:r>
    </w:p>
    <w:p>
      <w:pPr>
        <w:pStyle w:val="Heading1"/>
      </w:pPr>
      <w:r>
        <w:t>1. Czym jest wynik</w:t>
      </w:r>
    </w:p>
    <w:p>
      <w:r>
        <w:t xml:space="preserve">Kalkulator tworzy </w:t>
      </w:r>
      <w:r>
        <w:rPr>
          <w:b/>
        </w:rPr>
        <w:t>scenariusz skali</w:t>
      </w:r>
      <w:r>
        <w:t xml:space="preserve"> kosztu milczenia przy zadanych warunkach. Nie jest wyceną księgową, prognozą, szacunkiem przyczynowym ani obietnicą zwrotu z inwestycji. „Prior” oznacza tu założenie startowe autora, a nie rozkład wyestymowany z danych polskich firm.</w:t>
      </w:r>
    </w:p>
    <w:p>
      <w:r>
        <w:rPr>
          <w:b/>
        </w:rPr>
        <w:t>Przykład referencyjny:</w:t>
      </w:r>
      <w:r>
        <w:t xml:space="preserve"> firma o przychodzie 100 mln zł, 500 FTE, średniej rocznej płacy brutto 90 000 zł, deklarowanej rotacji 16% i klimacie 41/100. Wynik: </w:t>
      </w:r>
      <w:r>
        <w:rPr>
          <w:b/>
        </w:rPr>
        <w:t>3,32 mln zł, czyli 3,32% przychodu</w:t>
      </w:r>
      <w:r>
        <w:t>; granice scenariusza 2,51–4,21 mln zł. Na sumę składają się: błędy i compliance 1,10 mln zł, rotacja i utrata wiedzy 0,74 mln zł, wypalenie i pasywność 1,48 mln zł. Dwa pozostałe obszary (innowacje i uczenie się, koordynacja i hierarchia) są pokazywane poza sumą, bez dodawania złotych.</w:t>
      </w:r>
    </w:p>
    <w:p>
      <w:pPr>
        <w:pStyle w:val="Heading1"/>
      </w:pPr>
      <w:r>
        <w:t>2. Jakie dane wchodzą</w:t>
      </w:r>
    </w:p>
    <w:p>
      <w:r>
        <w:t>Przychód, koszty, liczba FTE, średnia roczna płaca brutto, deklarowana roczna rotacja oraz jeden suwak klimatu 0–100 z kotwicami behawioralnymi (szacunek własny, nie pomiar). Przychód jest mianownikiem procentu, koszty służą tylko do marży. Kwotę wyznaczają FTE, płaca, rotacja i klimat.</w:t>
      </w:r>
    </w:p>
    <w:p>
      <w:pPr>
        <w:pStyle w:val="Heading1"/>
      </w:pPr>
      <w:r>
        <w:t>3. Status założeń</w:t>
      </w:r>
    </w:p>
    <w:p>
      <w:r>
        <w:t xml:space="preserve">Najważniejsze zasady: badania uzasadniają </w:t>
      </w:r>
      <w:r>
        <w:rPr>
          <w:b/>
        </w:rPr>
        <w:t>mechanizm</w:t>
      </w:r>
      <w:r>
        <w:t>, a nie przeliczniki pieniężne. Otwarty kod pozwala sprawdzić rachunek, ale nie dowodzi prawdziwości założeń. Etykieta „validated” w kodzie określa zakres sumy, a nie empiryczną trafność kwoty.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DCE3EF"/>
          </w:tcPr>
          <w:p>
            <w:r/>
            <w:r>
              <w:rPr>
                <w:b/>
                <w:sz w:val="19"/>
              </w:rPr>
              <w:t>Blok</w:t>
            </w:r>
          </w:p>
        </w:tc>
        <w:tc>
          <w:tcPr>
            <w:tcW w:type="dxa" w:w="2381"/>
            <w:shd w:val="clear" w:color="auto" w:fill="DCE3EF"/>
          </w:tcPr>
          <w:p>
            <w:r/>
            <w:r>
              <w:rPr>
                <w:b/>
                <w:sz w:val="19"/>
              </w:rPr>
              <w:t>Wartość startowa (FNP)</w:t>
            </w:r>
          </w:p>
        </w:tc>
        <w:tc>
          <w:tcPr>
            <w:tcW w:type="dxa" w:w="1814"/>
            <w:shd w:val="clear" w:color="auto" w:fill="DCE3EF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3061"/>
            <w:shd w:val="clear" w:color="auto" w:fill="DCE3EF"/>
          </w:tcPr>
          <w:p>
            <w:r/>
            <w:r>
              <w:rPr>
                <w:b/>
                <w:sz w:val="19"/>
              </w:rPr>
              <w:t>Co wolno twierdzić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Końce krzywych reakcji wskaźników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przypisane do Ipsos × FNP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Źródło prywatne, audyt tabel w toku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Nie mówimy, że model jest skalibrowany na Ipsos.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Środki i stromości krzywych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stromość × 0,30; środki lęku +4 pkt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Kształt reakcji, nie krzywa dopasowana do danych.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Koszt zastąpienia pracownika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0,75 rocznej płacy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Hipoteza przeliczenia na pieniądze. Może ją zastąpić udokumentowany koszt obsadzenia i wdrożenia.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Odniesienie rotacji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14,8% (przypisane do GUS)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Do weryfikacji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Definicja i tabela źródłowa niepotwierdzone. Inna publikacja podaje 19,7% (zwolnienia), więc nie zamieniamy automatycznie.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Połączenie informacji o rotacji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50% sygnału klimatu, 50% deklaracji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Zmniejsza zależność od jednego suwaka. Nie dowodzi przyczyny odejść.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Wzmocnienie kosztu rotacji przy blokowaniu głosu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0,10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Teoria uzasadnia mechanizm, nie wielkość.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Koszt wypalenia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płace × b × (1 + 0,5 b) × 0,25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b to wskaźnik modelowy, nie rozpoznanie zdrowia pracowników.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Korekta nakładania kosztów wypalenia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0,75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Ekspercki prior autora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Ogranicza podwójne liczenie, nie jest dekorelacją statystyczną.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Kara za milczenie automatyczne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0,04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Założenie o przeniesieniu mechanizmu, nie oszacowana wielkość.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Częstość i koszt zdarzeń błędów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tabela poniżej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Założenia operacyjne scenariusza.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Pasmo niepewności</w:t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2000 losowań; rozrzut 0,35 (błędy), 0,25 (rotacja, wypalenie); wspólny czynnik 0,5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sz w:val="19"/>
              </w:rPr>
              <w:t>Autorski prior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</w:r>
            <w:r>
              <w:rPr>
                <w:sz w:val="19"/>
              </w:rPr>
              <w:t>Granice scenariusza, nie przedział ufności straty firmy.</w:t>
            </w:r>
          </w:p>
        </w:tc>
      </w:tr>
    </w:tbl>
    <w:p/>
    <w:p>
      <w:pPr>
        <w:pStyle w:val="Heading3"/>
      </w:pPr>
      <w:r>
        <w:t>Rozkład zdarzeń błędów (na 1 FTE rocznie)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DCE3EF"/>
          </w:tcPr>
          <w:p>
            <w:r/>
            <w:r>
              <w:rPr>
                <w:b/>
                <w:sz w:val="19"/>
              </w:rPr>
              <w:t>Kategoria</w:t>
            </w:r>
          </w:p>
        </w:tc>
        <w:tc>
          <w:tcPr>
            <w:tcW w:type="dxa" w:w="1928"/>
            <w:shd w:val="clear" w:color="auto" w:fill="DCE3EF"/>
          </w:tcPr>
          <w:p>
            <w:r/>
            <w:r>
              <w:rPr>
                <w:b/>
                <w:sz w:val="19"/>
              </w:rPr>
              <w:t>Zdarzeń / FTE / rok</w:t>
            </w:r>
          </w:p>
        </w:tc>
        <w:tc>
          <w:tcPr>
            <w:tcW w:type="dxa" w:w="1928"/>
            <w:shd w:val="clear" w:color="auto" w:fill="DCE3EF"/>
          </w:tcPr>
          <w:p>
            <w:r/>
            <w:r>
              <w:rPr>
                <w:b/>
                <w:sz w:val="19"/>
              </w:rPr>
              <w:t>Koszt wczesny, zł</w:t>
            </w:r>
          </w:p>
        </w:tc>
        <w:tc>
          <w:tcPr>
            <w:tcW w:type="dxa" w:w="2041"/>
            <w:shd w:val="clear" w:color="auto" w:fill="DCE3EF"/>
          </w:tcPr>
          <w:p>
            <w:r/>
            <w:r>
              <w:rPr>
                <w:b/>
                <w:sz w:val="19"/>
              </w:rPr>
              <w:t>Koszt późny (mnożnik)</w:t>
            </w:r>
          </w:p>
        </w:tc>
        <w:tc>
          <w:tcPr>
            <w:tcW w:type="dxa" w:w="1928"/>
            <w:shd w:val="clear" w:color="auto" w:fill="DCE3EF"/>
          </w:tcPr>
          <w:p>
            <w:r/>
            <w:r>
              <w:rPr>
                <w:b/>
                <w:sz w:val="19"/>
              </w:rPr>
              <w:t>Podatność na ukrycie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drobne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1,5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0,60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średnie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5 000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2,5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0,30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poważne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0,05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50 000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3,5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0,15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sz w:val="19"/>
              </w:rPr>
              <w:t>krytyczne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0,006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250 000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</w:r>
            <w:r>
              <w:rPr>
                <w:sz w:val="19"/>
              </w:rPr>
              <w:t>5,0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</w:r>
            <w:r>
              <w:rPr>
                <w:sz w:val="19"/>
              </w:rPr>
              <w:t>0,05</w:t>
            </w:r>
          </w:p>
        </w:tc>
      </w:tr>
    </w:tbl>
    <w:p/>
    <w:p>
      <w:r>
        <w:t>Przy 500 FTE model zakłada 25 poważnych i 3 krytyczne zdarzenia rocznie przed ukrywaniem. Wszystkie wartości są autorskie. Poważne zdarzenia skalują się liniowo z FTE, co może nie pasować do ryzyk występujących raz na organizację.</w:t>
      </w:r>
    </w:p>
    <w:p>
      <w:pPr>
        <w:pStyle w:val="Heading1"/>
      </w:pPr>
      <w:r>
        <w:t>4. Skąd wiemy, że mechanizm jest sensowny</w:t>
      </w:r>
    </w:p>
    <w:p>
      <w:pPr>
        <w:pStyle w:val="ListBullet"/>
      </w:pPr>
      <w:r>
        <w:t>Kiewitz i in. (2016): nadużycia przełożonych, strach i milczenie obronne w trzech badaniach. Podstawa opisu mechanizmu, nie przelicznik pieniężny.</w:t>
      </w:r>
    </w:p>
    <w:p>
      <w:pPr>
        <w:pStyle w:val="ListBullet"/>
      </w:pPr>
      <w:r>
        <w:t>Adamska (2016): rozróżnienie milczenia związanego ze społecznie podzielanymi przekonaniami i milczenia jako taktyki. Nie ustanawia wartości 0,04.</w:t>
      </w:r>
    </w:p>
    <w:p>
      <w:pPr>
        <w:pStyle w:val="ListBullet"/>
      </w:pPr>
      <w:r>
        <w:t>Penney (2016): efekt mrożenia po ujawnieniach nadzoru państwowego (Wikipedia, 2013). Nie uzasadnia przeniesienia wielkości efektu na pracowników ani złote.</w:t>
      </w:r>
    </w:p>
    <w:p>
      <w:pPr>
        <w:pStyle w:val="ListBullet"/>
      </w:pPr>
      <w:r>
        <w:t>Ipsos × FNP 2026 jest kontekstem polskim. Audyt tabel jest w toku, więc nie podajemy go jako kalibracji.</w:t>
      </w:r>
    </w:p>
    <w:p>
      <w:pPr>
        <w:pStyle w:val="Heading1"/>
      </w:pPr>
      <w:r>
        <w:t>5. Język: co wolno, czego 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62"/>
            <w:shd w:val="clear" w:color="auto" w:fill="DCE3EF"/>
          </w:tcPr>
          <w:p>
            <w:r/>
            <w:r>
              <w:rPr>
                <w:b/>
                <w:sz w:val="19"/>
              </w:rPr>
              <w:t>Wolno</w:t>
            </w:r>
          </w:p>
        </w:tc>
        <w:tc>
          <w:tcPr>
            <w:tcW w:type="dxa" w:w="4762"/>
            <w:shd w:val="clear" w:color="auto" w:fill="DCE3EF"/>
          </w:tcPr>
          <w:p>
            <w:r/>
            <w:r>
              <w:rPr>
                <w:b/>
                <w:sz w:val="19"/>
              </w:rPr>
              <w:t>Nie wolno</w:t>
            </w:r>
          </w:p>
        </w:tc>
      </w:tr>
      <w:tr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scenariusz, profil ryzyka, założenie użytkownika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zmierzony lub prawdziwy koszt</w:t>
            </w:r>
          </w:p>
        </w:tc>
      </w:tr>
      <w:tr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granice scenariusza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przedział ufności; „model skalibrowany na Ipsos”</w:t>
            </w:r>
          </w:p>
        </w:tc>
      </w:tr>
      <w:tr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związek, współwystępowanie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„spowodowało”, jeśli badanie nie jest przyczynowe</w:t>
            </w:r>
          </w:p>
        </w:tc>
      </w:tr>
      <w:tr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szacunek własny klimatu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pomiar klimatu (suwak nim nie jest)</w:t>
            </w:r>
          </w:p>
        </w:tc>
      </w:tr>
      <w:tr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scenariusz skali</w:t>
            </w:r>
          </w:p>
        </w:tc>
        <w:tc>
          <w:tcPr>
            <w:tcW w:type="dxa" w:w="4762"/>
          </w:tcPr>
          <w:p>
            <w:r>
              <w:rPr>
                <w:sz w:val="19"/>
              </w:rPr>
            </w:r>
            <w:r>
              <w:rPr>
                <w:sz w:val="19"/>
              </w:rPr>
              <w:t>oszczędności, ROI, zwrot z programu</w:t>
            </w:r>
          </w:p>
        </w:tc>
      </w:tr>
    </w:tbl>
    <w:p/>
    <w:p>
      <w:pPr>
        <w:pStyle w:val="Heading1"/>
      </w:pPr>
      <w:r>
        <w:t>6. Granice wnioskowania</w:t>
      </w:r>
    </w:p>
    <w:p>
      <w:pPr>
        <w:pStyle w:val="ListBullet"/>
      </w:pPr>
      <w:r>
        <w:t>Wartość 14,8% rotacji nie jest powiązana z konkretną tabelą GUS.</w:t>
      </w:r>
    </w:p>
    <w:p>
      <w:pPr>
        <w:pStyle w:val="ListBullet"/>
      </w:pPr>
      <w:r>
        <w:t>Końce krzywych przypisane do Ipsos czekają na audyt tabel.</w:t>
      </w:r>
    </w:p>
    <w:p>
      <w:pPr>
        <w:pStyle w:val="ListBullet"/>
      </w:pPr>
      <w:r>
        <w:t>Testy i weryfikacja wzorów nie są walidacją empiryczną kwot. Plan walidacji: Załącznik 2.</w:t>
      </w:r>
    </w:p>
    <w:p>
      <w:pPr>
        <w:pStyle w:val="ListBullet"/>
      </w:pPr>
      <w:r>
        <w:t>Pasmo nie uwzględnia niepewności samego klimatu, błędów danych wejściowych ani struktury modelu.</w:t>
      </w:r>
    </w:p>
    <w:p>
      <w:pPr>
        <w:pStyle w:val="ListBullet"/>
      </w:pPr>
      <w:r>
        <w:t>Model liczy firmę jako całość. Nie rozróżnia zespołów, pracy zmianowej ani typu pracy.</w:t>
      </w:r>
    </w:p>
    <w:p>
      <w:pPr>
        <w:pStyle w:val="Heading2"/>
      </w:pPr>
      <w:r>
        <w:t>Czym ta wersja różni się od źródłowej</w:t>
      </w:r>
    </w:p>
    <w:p>
      <w:pPr>
        <w:pStyle w:val="ListBullet"/>
      </w:pPr>
      <w:r>
        <w:t>Źródło: dokument „Priory FNP: instrukcja dla analityka” oraz rejestr statusu parametrów z repozytorium silence-tax.com, przepisane na język zarządu i Fundacji.</w:t>
      </w:r>
    </w:p>
    <w:p>
      <w:pPr>
        <w:pStyle w:val="ListBullet"/>
      </w:pPr>
      <w:r>
        <w:t>Pominięto instrukcję techniczną (nadpisywanie parametrów, kod, testy brzegowe).</w:t>
      </w:r>
    </w:p>
    <w:p>
      <w:pPr>
        <w:pStyle w:val="ListBullet"/>
      </w:pPr>
      <w:r>
        <w:t>Pełna wersja na silence-tax.com zawiera dodatkowo 13 modułów kosztów i katalog interwencji z optymalizatorem. Nie jest częścią oferty Fundacji. Wartości interwencji są tam również priorami autora, nie efektami przyczynowymi.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