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Załącznik 2. Protokół walidacji ankiety i Kalkulatora</w:t>
      </w:r>
    </w:p>
    <w:p>
      <w:r>
        <w:rPr>
          <w:i/>
        </w:rPr>
        <w:t>Wersja robocza dla Fundacji Nowe Przestrzenie, 3 października 2026 r. Dotyczy pytań 9, 11, 12, 21–24, 26 i 41 briefu.</w:t>
      </w:r>
    </w:p>
    <w:p>
      <w:pPr>
        <w:pStyle w:val="Heading1"/>
      </w:pPr>
      <w:r>
        <w:t>1. Po co walidacja</w:t>
      </w:r>
    </w:p>
    <w:p>
      <w:r>
        <w:t>Dziś Kalkulator ma sprawdzony rachunek, ale nie ma sprawdzonej trafności kwot na danych firm (Załącznik 1). Protokół opisuje, jak to zmienić: przez badanie na firmach, z hipotezami i kryterium porażki ustalonymi przed zebraniem danych.</w:t>
      </w:r>
    </w:p>
    <w:p>
      <w:pPr>
        <w:pStyle w:val="Heading1"/>
      </w:pPr>
      <w:r>
        <w:t>2. Trzy fazy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28"/>
            <w:shd w:val="clear" w:color="auto" w:fill="DCE3EF"/>
          </w:tcPr>
          <w:p>
            <w:r/>
            <w:r>
              <w:rPr>
                <w:b/>
                <w:sz w:val="19"/>
              </w:rPr>
              <w:t>Faza</w:t>
            </w:r>
          </w:p>
        </w:tc>
        <w:tc>
          <w:tcPr>
            <w:tcW w:type="dxa" w:w="4649"/>
            <w:shd w:val="clear" w:color="auto" w:fill="DCE3EF"/>
          </w:tcPr>
          <w:p>
            <w:r/>
            <w:r>
              <w:rPr>
                <w:b/>
                <w:sz w:val="19"/>
              </w:rPr>
              <w:t>Co robimy</w:t>
            </w:r>
          </w:p>
        </w:tc>
        <w:tc>
          <w:tcPr>
            <w:tcW w:type="dxa" w:w="2948"/>
            <w:shd w:val="clear" w:color="auto" w:fill="DCE3EF"/>
          </w:tcPr>
          <w:p>
            <w:r/>
            <w:r>
              <w:rPr>
                <w:b/>
                <w:sz w:val="19"/>
              </w:rPr>
              <w:t>Czego nie robimy</w:t>
            </w:r>
          </w:p>
        </w:tc>
      </w:tr>
      <w:tr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A. Pomiar i klasyfikacja</w:t>
            </w:r>
          </w:p>
        </w:tc>
        <w:tc>
          <w:tcPr>
            <w:tcW w:type="dxa" w:w="4649"/>
          </w:tcPr>
          <w:p>
            <w:r>
              <w:rPr>
                <w:sz w:val="19"/>
              </w:rPr>
            </w:r>
            <w:r>
              <w:rPr>
                <w:sz w:val="19"/>
              </w:rPr>
              <w:t>Zwalidowana skala bezpieczeństwa psychologicznego na poziomie zespołu; zasady agregacji ustalone z góry; klasyfikacja zdarzeń do kanałów przez co najmniej dwóch niezależnych koderów, ze zgodnością koderów.</w:t>
            </w:r>
          </w:p>
        </w:tc>
        <w:tc>
          <w:tcPr>
            <w:tcW w:type="dxa" w:w="2948"/>
          </w:tcPr>
          <w:p>
            <w:r>
              <w:rPr>
                <w:sz w:val="19"/>
              </w:rPr>
            </w:r>
            <w:r>
              <w:rPr>
                <w:sz w:val="19"/>
              </w:rPr>
              <w:t>Nie zmieniamy zasad agregacji po zobaczeniu wyników.</w:t>
            </w:r>
          </w:p>
        </w:tc>
      </w:tr>
      <w:tr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B. Rekonstrukcja wyceny</w:t>
            </w:r>
          </w:p>
        </w:tc>
        <w:tc>
          <w:tcPr>
            <w:tcW w:type="dxa" w:w="4649"/>
          </w:tcPr>
          <w:p>
            <w:r>
              <w:rPr>
                <w:sz w:val="19"/>
              </w:rPr>
            </w:r>
            <w:r>
              <w:rPr>
                <w:sz w:val="19"/>
              </w:rPr>
              <w:t>Zagregowane dane o odejściach, incydentach, absencji, czasie i szansach operacyjnych. Oddzielamy kwoty obserwowane od udziałów atrybucji.</w:t>
            </w:r>
          </w:p>
        </w:tc>
        <w:tc>
          <w:tcPr>
            <w:tcW w:type="dxa" w:w="2948"/>
          </w:tcPr>
          <w:p>
            <w:r>
              <w:rPr>
                <w:sz w:val="19"/>
              </w:rPr>
            </w:r>
            <w:r>
              <w:rPr>
                <w:sz w:val="19"/>
              </w:rPr>
              <w:t>Nie deklarujemy przyczynowości.</w:t>
            </w:r>
          </w:p>
        </w:tc>
      </w:tr>
      <w:tr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C. Pilotaż interwencji</w:t>
            </w:r>
          </w:p>
        </w:tc>
        <w:tc>
          <w:tcPr>
            <w:tcW w:type="dxa" w:w="4649"/>
          </w:tcPr>
          <w:p>
            <w:r>
              <w:rPr>
                <w:sz w:val="19"/>
              </w:rPr>
            </w:r>
            <w:r>
              <w:rPr>
                <w:sz w:val="19"/>
              </w:rPr>
              <w:t>Wyniki pierwotne określone przed wdrożeniem; porównanie w czasie i, jeśli to możliwe, grupa odniesienia; ujawniamy odchylenia od protokołu.</w:t>
            </w:r>
          </w:p>
        </w:tc>
        <w:tc>
          <w:tcPr>
            <w:tcW w:type="dxa" w:w="2948"/>
          </w:tcPr>
          <w:p>
            <w:r>
              <w:rPr>
                <w:sz w:val="19"/>
              </w:rPr>
            </w:r>
            <w:r>
              <w:rPr>
                <w:sz w:val="19"/>
              </w:rPr>
              <w:t>Nie liczymy ROI bez obserwowanych kosztów wdrożenia i efektów.</w:t>
            </w:r>
          </w:p>
        </w:tc>
      </w:tr>
    </w:tbl>
    <w:p/>
    <w:p>
      <w:pPr>
        <w:pStyle w:val="Heading1"/>
      </w:pPr>
      <w:r>
        <w:t>3. Plan badania (Faza 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DCE3EF"/>
          </w:tcPr>
          <w:p>
            <w:r/>
            <w:r>
              <w:rPr>
                <w:b/>
                <w:sz w:val="19"/>
              </w:rPr>
              <w:t>Element</w:t>
            </w:r>
          </w:p>
        </w:tc>
        <w:tc>
          <w:tcPr>
            <w:tcW w:type="dxa" w:w="7257"/>
            <w:shd w:val="clear" w:color="auto" w:fill="DCE3EF"/>
          </w:tcPr>
          <w:p>
            <w:r/>
            <w:r>
              <w:rPr>
                <w:b/>
                <w:sz w:val="19"/>
              </w:rPr>
              <w:t>Ustalenie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Projekt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Przekrojowy, wielofirmowy; respondenci zagnieżdżeni w firmach.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Firmy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Polskie podmioty z co najmniej 50 FTE; poza administracją publiczną i finansami. Poniżej 50 FTE hierarchia jest płytka, a mechanizm utraty informacji w hierarchii działa słabo, więc silnik prawdopodobnie przeszacowuje.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Respondenci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Co najmniej 15 ważnych odpowiedzi na firmę (stabilna średnia firmowa), docelowo 20. Losowa próba warstwowana szczeblem (pracownik, lider zespołu, kierownik średniego szczebla).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Liczba firm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Cel fazy A: 15 firm (około 225–300 osób). Na tej próbie hipoteza o poziomie firmy jest eksploracyjna; próg konfirmacyjny to co najmniej 61 firm.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Dane z rejestrów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12 miesięcy: odejścia dobrowolne, absencja, incydenty i reklamacje, zgłoszone pomysły, struktura organizacyjna (Załącznik 3).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Moc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80% przy α = 0,05; wielopoziomowo przy ICC około 0,15 i 20 respondentach na firmę.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Harmonogram w protokole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Rejestracja wstępna planowana na III kwartał 2026; zbieranie IV kwartał 2026 – III kwartał 2027; analiza IV kwartał 2027. Reguła zatrzymania: 15 firm albo 12 miesięcy.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Stan (do uzupełnienia)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  <w:highlight w:val="yellow"/>
              </w:rPr>
              <w:t>[status rejestracji wstępnej, liczba zgłoszonych firm, firma pilotażowa i termin]</w:t>
            </w:r>
          </w:p>
        </w:tc>
      </w:tr>
    </w:tbl>
    <w:p/>
    <w:p>
      <w:pPr>
        <w:pStyle w:val="Heading1"/>
      </w:pPr>
      <w:r>
        <w:t>4. Zmienne skutku</w:t>
      </w:r>
    </w:p>
    <w:p>
      <w:r>
        <w:t>Osiem zmiennych, każda powiązana z modułem modelu i mierzalna z rejestrów firmy albo ze zwalidowanej skali. To odpowiedź na pytanie 11 briefu.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422"/>
            <w:shd w:val="clear" w:color="auto" w:fill="DCE3EF"/>
          </w:tcPr>
          <w:p>
            <w:r/>
            <w:r>
              <w:rPr>
                <w:b/>
                <w:sz w:val="19"/>
              </w:rPr>
              <w:t>Zmienna</w:t>
            </w:r>
          </w:p>
        </w:tc>
        <w:tc>
          <w:tcPr>
            <w:tcW w:type="dxa" w:w="2608"/>
            <w:shd w:val="clear" w:color="auto" w:fill="DCE3EF"/>
          </w:tcPr>
          <w:p>
            <w:r/>
            <w:r>
              <w:rPr>
                <w:b/>
                <w:sz w:val="19"/>
              </w:rPr>
              <w:t>Źródło</w:t>
            </w:r>
          </w:p>
        </w:tc>
        <w:tc>
          <w:tcPr>
            <w:tcW w:type="dxa" w:w="2494"/>
            <w:shd w:val="clear" w:color="auto" w:fill="DCE3EF"/>
          </w:tcPr>
          <w:p>
            <w:r/>
            <w:r>
              <w:rPr>
                <w:b/>
                <w:sz w:val="19"/>
              </w:rPr>
              <w:t>Czego dotyczy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1. Rotacja dobrowolna (na 100 FTE, 12 miesięcy)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rejestr kadrowy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rotacja i utrata wiedzy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2. Błędy i defekty (na 1000 godzin pracy)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rejestr niezgodności, dziennik incydentów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błędy i compliance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3. Zgłoszone pomysły (na pracownika rocznie)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system pomysłów, skrzynka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innowacje i uczenie się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4. Zaangażowanie (UWES-9)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ankieta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wypalenie i pasywność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5. Absencja nieplanowana (dni na pracownika)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rejestr kadrowy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wypalenie i pasywność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6. Dzielenie się wiedzą (podskala milczenia uległego, odwrócona)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ankieta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koordynacja, uczenie się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7. Narzut kierowniczy (stosunek kadry kierowniczej do FTE)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schemat organizacyjny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koordynacja i hierarchia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8. Poczucie bezpieczeństwa psychologicznego (0–100)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ankieta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główne wejście modelu</w:t>
            </w:r>
          </w:p>
        </w:tc>
      </w:tr>
    </w:tbl>
    <w:p/>
    <w:p>
      <w:pPr>
        <w:pStyle w:val="Heading1"/>
      </w:pPr>
      <w:r>
        <w:t>5. Instrumenty i długość ankiety</w:t>
      </w:r>
    </w:p>
    <w:p>
      <w:pPr>
        <w:pStyle w:val="ListBullet"/>
      </w:pPr>
      <w:r>
        <w:t>Skala bezpieczeństwa psychologicznego Edmondson (1999), 7 pozycji, skala 1–7.</w:t>
      </w:r>
    </w:p>
    <w:p>
      <w:pPr>
        <w:pStyle w:val="ListBullet"/>
      </w:pPr>
      <w:r>
        <w:t>Skala milczenia organizacyjnego Van Dyne i in. (2003), 15 pozycji, trzy podskale: obronne, uległe, prospołeczne.</w:t>
      </w:r>
    </w:p>
    <w:p>
      <w:pPr>
        <w:pStyle w:val="ListBullet"/>
      </w:pPr>
      <w:r>
        <w:t>UWES-9 (Schaufeli i in. 2006), polska walidacja Szabowska-Walaszczyk i in. (2011).</w:t>
      </w:r>
    </w:p>
    <w:p>
      <w:pPr>
        <w:pStyle w:val="ListBullet"/>
      </w:pPr>
      <w:r>
        <w:t>Krótki kwestionariusz kontekstu organizacyjnego. Łącznie około 35 pozycji i około 10 minut na osobę (to odpowiedź na pytanie 12; ostateczną długość ustala twórca narzędzia).</w:t>
      </w:r>
    </w:p>
    <w:p>
      <w:r>
        <w:rPr>
          <w:b/>
        </w:rPr>
        <w:t>Uwaga do pytania 10 briefu.</w:t>
      </w:r>
      <w:r>
        <w:t xml:space="preserve"> Brief zakłada skalę z badania Ipsos i brak skal z literatury. Protokół w obecnej postaci używa skal z literatury. Trzeba rozstrzygnąć z psychometrą: (a) pytania Ipsos jako benchmark plus skale walidowane do badania, (b) tylko pytania Ipsos, wtedy protokół wymaga aktualizacji, (c) zbadać warunki użycia skal w zastosowaniu komercyjnym. Nie rozstrzygam tego w tym dokumencie.</w:t>
      </w:r>
    </w:p>
    <w:p>
      <w:pPr>
        <w:pStyle w:val="Heading1"/>
      </w:pPr>
      <w:r>
        <w:t>6. Kiedy uznamy, że model się nie sprawdził</w:t>
      </w:r>
    </w:p>
    <w:p>
      <w:r>
        <w:t xml:space="preserve">Rozróżniamy dwa rodzaje porażki. </w:t>
      </w:r>
      <w:r>
        <w:rPr>
          <w:b/>
        </w:rPr>
        <w:t>Porażka strukturalna:</w:t>
      </w:r>
      <w:r>
        <w:t xml:space="preserve"> model przewiduje kierunki zależności sprzeczne z danymi, to obala jego architekturę. </w:t>
      </w:r>
      <w:r>
        <w:rPr>
          <w:b/>
        </w:rPr>
        <w:t>Błąd skali:</w:t>
      </w:r>
      <w:r>
        <w:t xml:space="preserve"> kierunki i proporcje są dobre, ale poziom kwot jest systematycznie za wysoki lub za niski; to wymaga rekalibracji współczynników, nie odrzucenia teorii.</w:t>
      </w:r>
    </w:p>
    <w:p>
      <w:r>
        <w:rPr>
          <w:b/>
        </w:rPr>
        <w:t>Kryterium obalenia:</w:t>
      </w:r>
      <w:r>
        <w:t xml:space="preserve"> przy co najmniej 60 firmach z kompletnym wskaźnikiem skutków korelacja Pearsona między przewidywanym kosztem (w % przychodu) a wskaźnikiem obserwowanym wynosi r poniżej 0,15 i p powyżej 0,10. Wynik taki zamyka obecny zestaw parametrów i uruchamia rewizję teorii, moduł po module.</w:t>
      </w:r>
    </w:p>
    <w:p>
      <w:pPr>
        <w:pStyle w:val="Heading1"/>
      </w:pPr>
      <w:r>
        <w:t>7. Pomiar przed i po</w:t>
      </w:r>
    </w:p>
    <w:p>
      <w:r>
        <w:t xml:space="preserve">Faza C opisuje logikę: wyniki pierwotne wskazane przed wdrożeniem, porównanie w czasie, grupa odniesienia jeśli to możliwe, uczciwy język („zmiana zbiegła się z”, nie „program spowodował”). Zaproszenie dla firm przewiduje opcjonalny re-pomiar po 6 miesiącach. </w:t>
      </w:r>
      <w:r>
        <w:rPr>
          <w:b/>
        </w:rPr>
        <w:t>Nie ma tego w narzędziu.</w:t>
      </w:r>
      <w:r>
        <w:t xml:space="preserve"> Główny protokół (wersja v1) jest przekrojowy, więc metoda przed/po wymaga osobnego opisu z psychometrą (pytanie 24).</w:t>
      </w:r>
    </w:p>
    <w:p>
      <w:pPr>
        <w:pStyle w:val="Heading1"/>
      </w:pPr>
      <w:r>
        <w:t>8. Co dostaje firma, czego potrzeba od Fundacji</w:t>
      </w:r>
    </w:p>
    <w:p>
      <w:pPr>
        <w:pStyle w:val="ListBullet"/>
      </w:pPr>
      <w:r>
        <w:t>Firma dostaje: indywidualny raport z analizą kosztów milczenia i benchmark. Wersja źródłowa obiecywała także „rekomendacje interwencji z rozwiązania LP”; w wersji dla Fundacji to wycofano, zgodnie z zasadą, że interwencje wynikają z diagnozy.</w:t>
      </w:r>
    </w:p>
    <w:p>
      <w:pPr>
        <w:pStyle w:val="ListBullet"/>
      </w:pPr>
      <w:r>
        <w:t>Firma dostarcza: ankietę wśród pracowników i dane z rejestrów (Załącznik 3), po zgodzie (Załącznik 4).</w:t>
      </w:r>
    </w:p>
    <w:p>
      <w:pPr>
        <w:pStyle w:val="ListBullet"/>
      </w:pPr>
      <w:r>
        <w:t>Od Fundacji: dostęp do firm, wskazanie firmy pilotażowej (pytanie 41), udział psychometry (pytania 8, 11, 12, 21), decyzja, czy faza A jest wspólnym pilotażem (pytanie 26).</w:t>
      </w:r>
    </w:p>
    <w:p>
      <w:pPr>
        <w:pStyle w:val="Heading2"/>
      </w:pPr>
      <w:r>
        <w:t>Czym ta wersja różni się od źródłowej</w:t>
      </w:r>
    </w:p>
    <w:p>
      <w:pPr>
        <w:pStyle w:val="ListBullet"/>
      </w:pPr>
      <w:r>
        <w:t>Źródło: „Protokół walidacji modelu v2” oraz pre-rejestrowany protokół zewnętrznej walidacji (v1, po angielsku) z repozytorium silence-tax.com.</w:t>
      </w:r>
    </w:p>
    <w:p>
      <w:pPr>
        <w:pStyle w:val="ListBullet"/>
      </w:pPr>
      <w:r>
        <w:t>Przetłumaczone i skrócone. Pominięto szczegóły statystyczne (kowariaty, korekty, kod analizy w R); dostępne w pełnym protokole.</w:t>
      </w:r>
    </w:p>
    <w:p>
      <w:pPr>
        <w:pStyle w:val="ListBullet"/>
      </w:pPr>
      <w:r>
        <w:t>Dodano uwagę o rozbieżności skal (pytanie 10) i o braku metody przed/po w narzędziu.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