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Załącznik 3. Formularz danych firmy</w:t>
      </w:r>
    </w:p>
    <w:p>
      <w:r>
        <w:rPr>
          <w:i/>
        </w:rPr>
        <w:t>Wersja robocza dla Fundacji Nowe Przestrzenie, 3 października 2026 r. Dotyczy pytań 11 i 20 briefu oraz kroku 3 ścieżki (dane wewnętrzne).</w:t>
      </w:r>
    </w:p>
    <w:p>
      <w:r>
        <w:t xml:space="preserve">Formularz zbiera </w:t>
      </w:r>
      <w:r>
        <w:rPr>
          <w:b/>
        </w:rPr>
        <w:t>zagregowane</w:t>
      </w:r>
      <w:r>
        <w:t xml:space="preserve"> dane organizacyjne z ostatnich 12 miesięcy. Zawiera 41 pól w 6 sekcjach. Do samego Kalkulatora wystarczą pola oznaczone </w:t>
      </w:r>
      <w:r>
        <w:rPr>
          <w:b/>
        </w:rPr>
        <w:t>K</w:t>
      </w:r>
      <w:r>
        <w:t xml:space="preserve"> (4 pola) oraz szacunek klimatu; pozostałe (oznaczone </w:t>
      </w:r>
      <w:r>
        <w:rPr>
          <w:b/>
        </w:rPr>
        <w:t>W</w:t>
      </w:r>
      <w:r>
        <w:t>) służą walidacji i diagnozie. Brak danych też jest wynikiem: zapisujemy go jako informację o tym, że organizacja nie zbiera danego sygnału.</w:t>
      </w:r>
    </w:p>
    <w:p>
      <w:r>
        <w:rPr>
          <w:b/>
        </w:rPr>
        <w:t>Tryb anonimowy:</w:t>
      </w:r>
      <w:r>
        <w:t xml:space="preserve"> firma występuje wyłącznie pod kodem (np. firma_017). Nazwa, adres i inne dane identyfikujące nie są zbierane ani publikowane. Pracownicy nie są wskazywani.</w:t>
      </w:r>
    </w:p>
    <w:p>
      <w:r>
        <w:rPr>
          <w:b/>
        </w:rPr>
        <w:t>Kontakt w sprawie formularza:</w:t>
      </w:r>
      <w:r>
        <w:t xml:space="preserve"> </w:t>
      </w:r>
      <w:r>
        <w:rPr>
          <w:highlight w:val="yellow"/>
        </w:rPr>
        <w:t>[osoba i adres po stronie Fundacji]</w:t>
      </w:r>
    </w:p>
    <w:p>
      <w:r>
        <w:rPr>
          <w:b/>
        </w:rPr>
        <w:t>Legenda:</w:t>
      </w:r>
      <w:r>
        <w:t xml:space="preserve"> K = potrzebne do Kalkulatora; W = walidacja i diagnoza.</w:t>
      </w:r>
    </w:p>
    <w:p>
      <w:pPr>
        <w:pStyle w:val="Heading2"/>
      </w:pPr>
      <w:r>
        <w:t>Sekcja 1. Dane organizacji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443"/>
            <w:shd w:val="clear" w:color="auto" w:fill="DCE3EF"/>
          </w:tcPr>
          <w:p>
            <w:r/>
            <w:r>
              <w:rPr>
                <w:b/>
                <w:sz w:val="19"/>
              </w:rPr>
              <w:t>Pole</w:t>
            </w:r>
          </w:p>
        </w:tc>
        <w:tc>
          <w:tcPr>
            <w:tcW w:type="dxa" w:w="1020"/>
            <w:shd w:val="clear" w:color="auto" w:fill="DCE3EF"/>
          </w:tcPr>
          <w:p>
            <w:r/>
            <w:r>
              <w:rPr>
                <w:b/>
                <w:sz w:val="19"/>
              </w:rPr>
              <w:t>Użycie</w:t>
            </w:r>
          </w:p>
        </w:tc>
        <w:tc>
          <w:tcPr>
            <w:tcW w:type="dxa" w:w="3061"/>
            <w:shd w:val="clear" w:color="auto" w:fill="DCE3EF"/>
          </w:tcPr>
          <w:p>
            <w:r/>
            <w:r>
              <w:rPr>
                <w:b/>
                <w:sz w:val="19"/>
              </w:rPr>
              <w:t>Wartość (wypełnia firma)</w:t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Sektor (PKD)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Przychód roczny netto (zł, przedział)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K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Liczba pracowników (FTE, stan na dzień)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K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Średnie wynagrodzenie brutto roczne (zł)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K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Mediana wynagrodzenia brutto rocznego (zł)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Liczba warstw zarządzania (od zarządu do pracownika liniowego)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Liczba osób na stanowiskach kierowniczych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Średni zakres kierowania (podwładnych na menedżera)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Forma własności (polska, zagraniczna, mieszana)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Rok powstania firmy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Sekcja 2. Rotacja (ostatnie 12 miesięcy)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443"/>
            <w:shd w:val="clear" w:color="auto" w:fill="DCE3EF"/>
          </w:tcPr>
          <w:p>
            <w:r/>
            <w:r>
              <w:rPr>
                <w:b/>
                <w:sz w:val="19"/>
              </w:rPr>
              <w:t>Pole</w:t>
            </w:r>
          </w:p>
        </w:tc>
        <w:tc>
          <w:tcPr>
            <w:tcW w:type="dxa" w:w="1020"/>
            <w:shd w:val="clear" w:color="auto" w:fill="DCE3EF"/>
          </w:tcPr>
          <w:p>
            <w:r/>
            <w:r>
              <w:rPr>
                <w:b/>
                <w:sz w:val="19"/>
              </w:rPr>
              <w:t>Użycie</w:t>
            </w:r>
          </w:p>
        </w:tc>
        <w:tc>
          <w:tcPr>
            <w:tcW w:type="dxa" w:w="3061"/>
            <w:shd w:val="clear" w:color="auto" w:fill="DCE3EF"/>
          </w:tcPr>
          <w:p>
            <w:r/>
            <w:r>
              <w:rPr>
                <w:b/>
                <w:sz w:val="19"/>
              </w:rPr>
              <w:t>Wartość (wypełnia firma)</w:t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Liczba odejść z inicjatywy pracownika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Liczba zwolnień z inicjatywy pracodawcy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Wskaźnik odejść dobrowolnych (%)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K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Średni staż odchodzących (miesiące)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Szacowany koszt jednego odejścia dobrowolnego (zł, jeśli kalkulowany)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Główne podawane przyczyny odejść (trzy najczęstsze)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Czy prowadzicie rozmowy wyjściowe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Sekcja 3. Absencja i wypalenie (ostatnie 12 miesięcy)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443"/>
            <w:shd w:val="clear" w:color="auto" w:fill="DCE3EF"/>
          </w:tcPr>
          <w:p>
            <w:r/>
            <w:r>
              <w:rPr>
                <w:b/>
                <w:sz w:val="19"/>
              </w:rPr>
              <w:t>Pole</w:t>
            </w:r>
          </w:p>
        </w:tc>
        <w:tc>
          <w:tcPr>
            <w:tcW w:type="dxa" w:w="1020"/>
            <w:shd w:val="clear" w:color="auto" w:fill="DCE3EF"/>
          </w:tcPr>
          <w:p>
            <w:r/>
            <w:r>
              <w:rPr>
                <w:b/>
                <w:sz w:val="19"/>
              </w:rPr>
              <w:t>Użycie</w:t>
            </w:r>
          </w:p>
        </w:tc>
        <w:tc>
          <w:tcPr>
            <w:tcW w:type="dxa" w:w="3061"/>
            <w:shd w:val="clear" w:color="auto" w:fill="DCE3EF"/>
          </w:tcPr>
          <w:p>
            <w:r/>
            <w:r>
              <w:rPr>
                <w:b/>
                <w:sz w:val="19"/>
              </w:rPr>
              <w:t>Wartość (wypełnia firma)</w:t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Średnia absencja chorobowa (dni na pracownika rocznie)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Odsetek pracowników z absencją powyżej 20 dni rocznie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Liczba zwolnień lekarskich z kodem F (zaburzenia psychiczne)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Czy prowadzicie ankietę wellbeing lub wypalenia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Jeśli tak: odsetek pracowników z podwyższonym wypaleniem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Czy odnotowano wzrost absencji w ostatnich 2 latach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Sekcja 4. Jakość i błędy (ostatnie 12 miesięcy)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443"/>
            <w:shd w:val="clear" w:color="auto" w:fill="DCE3EF"/>
          </w:tcPr>
          <w:p>
            <w:r/>
            <w:r>
              <w:rPr>
                <w:b/>
                <w:sz w:val="19"/>
              </w:rPr>
              <w:t>Pole</w:t>
            </w:r>
          </w:p>
        </w:tc>
        <w:tc>
          <w:tcPr>
            <w:tcW w:type="dxa" w:w="1020"/>
            <w:shd w:val="clear" w:color="auto" w:fill="DCE3EF"/>
          </w:tcPr>
          <w:p>
            <w:r/>
            <w:r>
              <w:rPr>
                <w:b/>
                <w:sz w:val="19"/>
              </w:rPr>
              <w:t>Użycie</w:t>
            </w:r>
          </w:p>
        </w:tc>
        <w:tc>
          <w:tcPr>
            <w:tcW w:type="dxa" w:w="3061"/>
            <w:shd w:val="clear" w:color="auto" w:fill="DCE3EF"/>
          </w:tcPr>
          <w:p>
            <w:r/>
            <w:r>
              <w:rPr>
                <w:b/>
                <w:sz w:val="19"/>
              </w:rPr>
              <w:t>Wartość (wypełnia firma)</w:t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Liczba reklamacji klientów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Liczba incydentów jakościowych lub poprawek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Szacowany koszt reklamacji i poprawek (zł rocznie)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Liczba incydentów BHP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Czy istnieje system zgłaszania zdarzeń potencjalnie wypadkowych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Jeśli tak: liczba zgłoszeń w 12 miesiącach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Czy pracownicy zgłaszają błędy bez obawy o konsekwencje (1–7)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Sekcja 5. Innowacyjność i komunikacja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443"/>
            <w:shd w:val="clear" w:color="auto" w:fill="DCE3EF"/>
          </w:tcPr>
          <w:p>
            <w:r/>
            <w:r>
              <w:rPr>
                <w:b/>
                <w:sz w:val="19"/>
              </w:rPr>
              <w:t>Pole</w:t>
            </w:r>
          </w:p>
        </w:tc>
        <w:tc>
          <w:tcPr>
            <w:tcW w:type="dxa" w:w="1020"/>
            <w:shd w:val="clear" w:color="auto" w:fill="DCE3EF"/>
          </w:tcPr>
          <w:p>
            <w:r/>
            <w:r>
              <w:rPr>
                <w:b/>
                <w:sz w:val="19"/>
              </w:rPr>
              <w:t>Użycie</w:t>
            </w:r>
          </w:p>
        </w:tc>
        <w:tc>
          <w:tcPr>
            <w:tcW w:type="dxa" w:w="3061"/>
            <w:shd w:val="clear" w:color="auto" w:fill="DCE3EF"/>
          </w:tcPr>
          <w:p>
            <w:r/>
            <w:r>
              <w:rPr>
                <w:b/>
                <w:sz w:val="19"/>
              </w:rPr>
              <w:t>Wartość (wypełnia firma)</w:t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Liczba zgłoszonych pomysłów usprawnieniowych (12 miesięcy)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Liczba wdrożonych usprawnień (12 miesięcy)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Czy istnieje formalny system zgłaszania pomysłów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Przepływ informacji w górę (1–7: zablokowany do otwartego)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Wykonywanie decyzji zarządu (1–7: ignorowane do wiernie realizowane)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Sekcja 6. Istniejące ankiety i działania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443"/>
            <w:shd w:val="clear" w:color="auto" w:fill="DCE3EF"/>
          </w:tcPr>
          <w:p>
            <w:r/>
            <w:r>
              <w:rPr>
                <w:b/>
                <w:sz w:val="19"/>
              </w:rPr>
              <w:t>Pole</w:t>
            </w:r>
          </w:p>
        </w:tc>
        <w:tc>
          <w:tcPr>
            <w:tcW w:type="dxa" w:w="1020"/>
            <w:shd w:val="clear" w:color="auto" w:fill="DCE3EF"/>
          </w:tcPr>
          <w:p>
            <w:r/>
            <w:r>
              <w:rPr>
                <w:b/>
                <w:sz w:val="19"/>
              </w:rPr>
              <w:t>Użycie</w:t>
            </w:r>
          </w:p>
        </w:tc>
        <w:tc>
          <w:tcPr>
            <w:tcW w:type="dxa" w:w="3061"/>
            <w:shd w:val="clear" w:color="auto" w:fill="DCE3EF"/>
          </w:tcPr>
          <w:p>
            <w:r/>
            <w:r>
              <w:rPr>
                <w:b/>
                <w:sz w:val="19"/>
              </w:rPr>
              <w:t>Wartość (wypełnia firma)</w:t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Czy prowadzicie ankietę zaangażowania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Jeśli tak: narzędzie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Ostatni wynik (skala i wartość)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Czy wdrożono działania dotyczące bezpieczeństwa psychologicznego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Jeśli tak: jakie i kiedy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443"/>
          </w:tcPr>
          <w:p>
            <w:r>
              <w:rPr>
                <w:sz w:val="19"/>
              </w:rPr>
            </w:r>
            <w:r>
              <w:rPr>
                <w:sz w:val="19"/>
              </w:rPr>
              <w:t>Czy planowane są takie działania w ciągu 6 miesięcy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  <w:r>
              <w:rPr>
                <w:sz w:val="19"/>
              </w:rPr>
              <w:t>W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Sekcja 7. Zgoda</w:t>
      </w:r>
    </w:p>
    <w:p>
      <w:r>
        <w:t>Zgoda jest udzielana przez osobę decyzyjną firmy w sposób opisany w Załączniku 4. Nie zbieramy podpisów ani danych osobowych w formularzu.</w:t>
      </w:r>
    </w:p>
    <w:p>
      <w:pPr>
        <w:pStyle w:val="Heading2"/>
      </w:pPr>
      <w:r>
        <w:t>Czym ta wersja różni się od źródłowej</w:t>
      </w:r>
    </w:p>
    <w:p>
      <w:pPr>
        <w:pStyle w:val="ListBullet"/>
      </w:pPr>
      <w:r>
        <w:t>Źródło: „Formularz danych HR” z repozytorium silence-tax.com. Treść pól bez zmian, przetłumaczona na język ścieżki Fundacji.</w:t>
      </w:r>
    </w:p>
    <w:p>
      <w:pPr>
        <w:pStyle w:val="ListBullet"/>
      </w:pPr>
      <w:r>
        <w:t>Dodano kolumnę „Użycie”, żeby oddzielić dane potrzebne do Kalkulatora od danych do walidacji.</w:t>
      </w:r>
    </w:p>
    <w:p>
      <w:pPr>
        <w:pStyle w:val="ListBullet"/>
      </w:pPr>
      <w:r>
        <w:t>Usunięto dane kontaktowe autora badania. Miejsce kontaktu i administratora danych jest do ustalenia (Załącznik 4).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