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Załącznik 4. Zgoda i informacja o danych (projekt)</w:t>
      </w:r>
    </w:p>
    <w:p>
      <w:r>
        <w:rPr>
          <w:i/>
        </w:rPr>
        <w:t xml:space="preserve">Wersja robocza dla Fundacji Nowe Przestrzenie, 3 października 2026 r. Dotyczy pytań 30, 31 i 33 briefu. </w:t>
      </w:r>
      <w:r>
        <w:rPr>
          <w:b/>
          <w:i/>
        </w:rPr>
        <w:t>To projekt roboczy, nie opinia prawna: wymaga weryfikacji przez prawnika.</w:t>
      </w:r>
    </w:p>
    <w:p>
      <w:pPr>
        <w:pStyle w:val="Heading1"/>
      </w:pPr>
      <w:r>
        <w:t>1. Co jest dziś</w:t>
      </w:r>
    </w:p>
    <w:p>
      <w:r>
        <w:t xml:space="preserve">Istnieją szablon zaproszenia i klauzula informacyjna dla </w:t>
      </w:r>
      <w:r>
        <w:rPr>
          <w:b/>
        </w:rPr>
        <w:t>badania naukowego</w:t>
      </w:r>
      <w:r>
        <w:t xml:space="preserve"> (walidacja modelu), w którym administratorem jest autor Kalkulatora. Ustalenia z tego szablonu:</w:t>
      </w:r>
    </w:p>
    <w:p>
      <w:pPr>
        <w:pStyle w:val="ListBullet"/>
      </w:pPr>
      <w:r>
        <w:t>Cel: wyłącznie naukowy (walidacja modelu, publikacje, rozprawa). Podstawa: zgoda i badania naukowe (art. 6 ust. 1 lit. a oraz art. 9 ust. 2 lit. j RODO).</w:t>
      </w:r>
    </w:p>
    <w:p>
      <w:pPr>
        <w:pStyle w:val="ListBullet"/>
      </w:pPr>
      <w:r>
        <w:t>Zakres: kod firmy, sektor, dane HR w postaci zagregowanej, anonimowe odpowiedzi pracowników. Brak danych osobowych pracowników, brak adresów IP i identyfikatorów urządzeń w odpowiedziach.</w:t>
      </w:r>
    </w:p>
    <w:p>
      <w:pPr>
        <w:pStyle w:val="ListBullet"/>
      </w:pPr>
      <w:r>
        <w:t>Zgoda: kliknięcie linku w wiadomości do osoby decyzyjnej firmy; jej adres e-mail jest haszowany (SHA-256) i nie jest powiązany z odpowiedziami pracowników.</w:t>
      </w:r>
    </w:p>
    <w:p>
      <w:pPr>
        <w:pStyle w:val="ListBullet"/>
      </w:pPr>
      <w:r>
        <w:t>Przechowywanie: 5 lat od zakończenia badania. Prawo wycofania zgody w każdej chwili. Po publikacji zanonimizowany zbiór trafia do otwartego repozytorium.</w:t>
      </w:r>
    </w:p>
    <w:p>
      <w:pPr>
        <w:pStyle w:val="ListBullet"/>
      </w:pPr>
      <w:r>
        <w:t>Technicznie: odpowiedzi zbiera Worker na platformie Cloudflare z magazynem KV, limitem zapytań i eksportem CSV tylko z tokenem administratora.</w:t>
      </w:r>
    </w:p>
    <w:p>
      <w:r>
        <w:rPr>
          <w:b/>
        </w:rPr>
        <w:t>Czego nie ma:</w:t>
      </w:r>
      <w:r>
        <w:t xml:space="preserve"> wzoru umowy powierzenia, wyznaczonego inspektora ochrony danych, osobnego dokumentu oceny skutków (zaproszenie zawiera stwierdzenie o niskim ryzyku reidentyfikacji). W konfiguracji technicznej nie ma wymuszonej lokalizacji danych w UE ani automatycznego usuwania po 5 latach: to zobowiązanie z zaproszenia, jeszcze niewdrożone w kodzie.</w:t>
      </w:r>
    </w:p>
    <w:p>
      <w:pPr>
        <w:pStyle w:val="Heading1"/>
      </w:pPr>
      <w:r>
        <w:t>2. Co zmienia ścieżka Fundacji</w:t>
      </w:r>
    </w:p>
    <w:p>
      <w:r>
        <w:t>Ścieżka „Sprawdź, jak to jest u was” jest usługą płatną, a nie badaniem naukowym. Poniższe punkty wymagają decyzji, zanim firma dostanie umowę: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DCE3EF"/>
          </w:tcPr>
          <w:p>
            <w:r/>
            <w:r>
              <w:rPr>
                <w:b/>
                <w:sz w:val="19"/>
              </w:rPr>
              <w:t>Zagadnienie</w:t>
            </w:r>
          </w:p>
        </w:tc>
        <w:tc>
          <w:tcPr>
            <w:tcW w:type="dxa" w:w="2835"/>
            <w:shd w:val="clear" w:color="auto" w:fill="DCE3EF"/>
          </w:tcPr>
          <w:p>
            <w:r/>
            <w:r>
              <w:rPr>
                <w:b/>
                <w:sz w:val="19"/>
              </w:rPr>
              <w:t>Dziś (badanie naukowe)</w:t>
            </w:r>
          </w:p>
        </w:tc>
        <w:tc>
          <w:tcPr>
            <w:tcW w:type="dxa" w:w="4309"/>
            <w:shd w:val="clear" w:color="auto" w:fill="DCE3EF"/>
          </w:tcPr>
          <w:p>
            <w:r/>
            <w:r>
              <w:rPr>
                <w:b/>
                <w:sz w:val="19"/>
              </w:rPr>
              <w:t>Do decyzji dla ścieżki Fundacji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Administrator danych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autor Kalkulatora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  <w:highlight w:val="yellow"/>
              </w:rPr>
              <w:t>[Fundacja, autor, współadministratorzy?]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Cel przetwarzania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naukowy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diagnoza dla klienta; czy także rozwój Kalkulatora i benchmark?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Podstawa prawna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zgoda; badania naukowe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  <w:highlight w:val="yellow"/>
              </w:rPr>
              <w:t>[do ustalenia z prawnikiem]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Umowa powierzenia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brak wzoru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potrzebna, jeśli któraś strona przetwarza dane w imieniu drugiej; wzór do przygotowania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Inspektor ochrony danych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nie wyznaczono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  <w:highlight w:val="yellow"/>
              </w:rPr>
              <w:t>[czy wymagany, kto odpowiada w Fundacji]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Ocena skutków (DPIA)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stwierdzenie w zaproszeniu, brak dokumentu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  <w:highlight w:val="yellow"/>
              </w:rPr>
              <w:t>[czy sporządzić dokument]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Okres przechowywania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5 lat od końca badania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  <w:highlight w:val="yellow"/>
              </w:rPr>
              <w:t>[do ustalenia; wdrożyć automatyczne usuwanie]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Dane otwarte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zanonimizowany zbiór po publikacji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domyślnie nie dla danych z płatnych diagnoz, chyba że klient wyrazi zgodę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Użycie do benchmarku i rozwoju Kalkulatora (krok 10)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nie objęte zgodą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wymaga zapisu w umowie z klientem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Próg anonimowości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min. 15 ważnych odpowiedzi na firmę (agregacja firmowa)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5 osób na zespół (brief); to różne poziomy agregacji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Lokalizacja danych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bez ustawienia UE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  <w:highlight w:val="yellow"/>
              </w:rPr>
              <w:t>[czy wymóg UE; wybór platformy]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</w:r>
            <w:r>
              <w:rPr>
                <w:sz w:val="19"/>
              </w:rPr>
              <w:t>Rozdzielenie diagnozy i działań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</w:r>
            <w:r>
              <w:rPr>
                <w:sz w:val="19"/>
              </w:rPr>
              <w:t>nie dotyczy</w:t>
            </w:r>
          </w:p>
        </w:tc>
        <w:tc>
          <w:tcPr>
            <w:tcW w:type="dxa" w:w="4309"/>
          </w:tcPr>
          <w:p>
            <w:r>
              <w:rPr>
                <w:sz w:val="19"/>
              </w:rPr>
            </w:r>
            <w:r>
              <w:rPr>
                <w:sz w:val="19"/>
              </w:rPr>
              <w:t>zapis w umowie, wyniki należą do firmy, rekomendacje niezależne od wykonawcy (zagrożenie z briefu)</w:t>
            </w:r>
          </w:p>
        </w:tc>
      </w:tr>
    </w:tbl>
    <w:p/>
    <w:p>
      <w:pPr>
        <w:pStyle w:val="Heading1"/>
      </w:pPr>
      <w:r>
        <w:t>3. Roboczy tekst zaproszenia i zgody</w:t>
      </w:r>
    </w:p>
    <w:p>
      <w:r>
        <w:t>Adaptacja szablonu badawczego dla Fundacji. Żółte pola wymagają uzupełnienia. Tekst nie jest zatwierdzony prawnie.</w:t>
      </w:r>
    </w:p>
    <w:p>
      <w:pPr>
        <w:pStyle w:val="Heading3"/>
      </w:pPr>
      <w:r>
        <w:t>Zaproszenie</w:t>
      </w:r>
    </w:p>
    <w:p>
      <w:r>
        <w:t xml:space="preserve">Szanowna Pani / Szanowny Panie, zapraszamy </w:t>
      </w:r>
      <w:r>
        <w:rPr>
          <w:highlight w:val="yellow"/>
        </w:rPr>
        <w:t>[nazwa firmy]</w:t>
      </w:r>
      <w:r>
        <w:t xml:space="preserve"> do ścieżki „Sprawdź, jak to jest u was” prowadzonej przez Fundację Nowe Przestrzenie. Ścieżka sprawdza, czy ludzie w organizacji mówią o problemach, a organizacja słyszy i reaguje: od diagnozy, przez działania, do ponownego pomiaru.</w:t>
      </w:r>
    </w:p>
    <w:p>
      <w:r>
        <w:rPr>
          <w:b/>
        </w:rPr>
        <w:t>Etap 1 (diagnoza)</w:t>
      </w:r>
      <w:r>
        <w:t xml:space="preserve"> wymaga: anonimowej ankiety wśród pracowników (około 10 minut na osobę, online) oraz zagregowanych danych organizacyjnych za ostatnie 12 miesięcy (Załącznik 3). Otrzymacie Państwo raport diagnostyczny z wynikiem na tle badania Ipsos oraz scenariusz skali kosztów milczenia z wypisanymi założeniami. Kalkulator pokazuje scenariusz, a nie wycenę ani obietnicę oszczędności.</w:t>
      </w:r>
    </w:p>
    <w:p>
      <w:r>
        <w:rPr>
          <w:b/>
        </w:rPr>
        <w:t>Anonimowość:</w:t>
      </w:r>
      <w:r>
        <w:t xml:space="preserve"> firma występuje pod kodem; odpowiedzi pracowników trafiają do Fundacji, nie do pracodawcy; wyniki są raportowane od progu </w:t>
      </w:r>
      <w:r>
        <w:rPr>
          <w:highlight w:val="yellow"/>
        </w:rPr>
        <w:t>[5]</w:t>
      </w:r>
      <w:r>
        <w:t xml:space="preserve"> osób w grupie; nie zbieramy imion, adresów IP ani identyfikatorów urządzeń w odpowiedziach.</w:t>
      </w:r>
    </w:p>
    <w:p>
      <w:r>
        <w:rPr>
          <w:b/>
        </w:rPr>
        <w:t>Zasady użycia wyników:</w:t>
      </w:r>
      <w:r>
        <w:t xml:space="preserve"> wyniki dotyczą zespołów; w pierwszym cyklu nie służą ocenie menedżerów; wyniki wracają do pracowników; wyniki należą do firmy.</w:t>
      </w:r>
    </w:p>
    <w:p>
      <w:pPr>
        <w:pStyle w:val="Heading3"/>
      </w:pPr>
      <w:r>
        <w:t>Klauzula informacyjna (szkielet, art. 13 RODO)</w:t>
      </w:r>
    </w:p>
    <w:p>
      <w:pPr>
        <w:pStyle w:val="ListBullet"/>
      </w:pPr>
      <w:r>
        <w:t xml:space="preserve">Administrator danych: </w:t>
      </w:r>
      <w:r>
        <w:rPr>
          <w:highlight w:val="yellow"/>
        </w:rPr>
        <w:t>[nazwa i dane kontaktowe]</w:t>
      </w:r>
    </w:p>
    <w:p>
      <w:pPr>
        <w:pStyle w:val="ListBullet"/>
      </w:pPr>
      <w:r>
        <w:t xml:space="preserve">Inspektor ochrony danych: </w:t>
      </w:r>
      <w:r>
        <w:rPr>
          <w:highlight w:val="yellow"/>
        </w:rPr>
        <w:t>[dane kontaktowe lub informacja o braku obowiązku]</w:t>
      </w:r>
    </w:p>
    <w:p>
      <w:pPr>
        <w:pStyle w:val="ListBullet"/>
      </w:pPr>
      <w:r>
        <w:t xml:space="preserve">Cele i podstawy prawne: </w:t>
      </w:r>
      <w:r>
        <w:rPr>
          <w:highlight w:val="yellow"/>
        </w:rPr>
        <w:t>[diagnoza w ramach umowy; dalsze cele tylko jeśli klient wyraził zgodę]</w:t>
      </w:r>
    </w:p>
    <w:p>
      <w:pPr>
        <w:pStyle w:val="ListBullet"/>
      </w:pPr>
      <w:r>
        <w:t>Zakres danych: kod firmy, sektor, dane organizacyjne w postaci zagregowanej, anonimowe odpowiedzi pracowników. Nie zbieramy danych osobowych pracowników.</w:t>
      </w:r>
    </w:p>
    <w:p>
      <w:pPr>
        <w:pStyle w:val="ListBullet"/>
      </w:pPr>
      <w:r>
        <w:t xml:space="preserve">Odbiorcy danych: </w:t>
      </w:r>
      <w:r>
        <w:rPr>
          <w:highlight w:val="yellow"/>
        </w:rPr>
        <w:t>[lista podmiotów; podmioty przetwarzające]</w:t>
      </w:r>
    </w:p>
    <w:p>
      <w:pPr>
        <w:pStyle w:val="ListBullet"/>
      </w:pPr>
      <w:r>
        <w:t xml:space="preserve">Okres przechowywania: </w:t>
      </w:r>
      <w:r>
        <w:rPr>
          <w:highlight w:val="yellow"/>
        </w:rPr>
        <w:t>[do ustalenia]</w:t>
      </w:r>
    </w:p>
    <w:p>
      <w:pPr>
        <w:pStyle w:val="ListBullet"/>
      </w:pPr>
      <w:r>
        <w:t>Prawa: dostęp, sprostowanie, usunięcie, ograniczenie, wycofanie zgody w dowolnym momencie, skarga do Prezesa UODO.</w:t>
      </w:r>
    </w:p>
    <w:p>
      <w:pPr>
        <w:pStyle w:val="ListBullet"/>
      </w:pPr>
      <w:r>
        <w:t>Dobrowolność: udział jest dobrowolny; odmowa nie ma konsekwencji.</w:t>
      </w:r>
    </w:p>
    <w:p>
      <w:pPr>
        <w:pStyle w:val="ListBullet"/>
      </w:pPr>
      <w:r>
        <w:t xml:space="preserve">Wykorzystanie zanonimizowanych wyników do rozwoju Kalkulatora i benchmarku: </w:t>
      </w:r>
      <w:r>
        <w:rPr>
          <w:highlight w:val="yellow"/>
        </w:rPr>
        <w:t>[osobna zgoda lub zapis w umowie, do decyzji]</w:t>
      </w:r>
    </w:p>
    <w:p>
      <w:pPr>
        <w:pStyle w:val="Heading2"/>
      </w:pPr>
      <w:r>
        <w:t>Czym ta wersja różni się od źródłowej</w:t>
      </w:r>
    </w:p>
    <w:p>
      <w:pPr>
        <w:pStyle w:val="ListBullet"/>
      </w:pPr>
      <w:r>
        <w:t>Źródło: szablon e-maila zapraszającego i klauzula RODO z repozytorium silence-tax.com.</w:t>
      </w:r>
    </w:p>
    <w:p>
      <w:pPr>
        <w:pStyle w:val="ListBullet"/>
      </w:pPr>
      <w:r>
        <w:t>Usunięto: dane i tytuł naukowy autora, obietnicę „rekomendacji interwencji z rozwiązania LP”, wzmiankę o publikacji danych w otwartym repozytorium (nie dotyczy płatnej ścieżki bez zgody klienta) i stałe 5 lat przechowywania.</w:t>
      </w:r>
    </w:p>
    <w:p>
      <w:pPr>
        <w:pStyle w:val="ListBullet"/>
      </w:pPr>
      <w:r>
        <w:t>Dodano: tabelę decyzji (administrator, podstawa, umowa powierzenia, IOD, lokalizacja, rozdzielenie diagnozy i działań) oraz zasady użycia wyników z kroku 2 ścieżki.</w:t>
      </w:r>
    </w:p>
    <w:p>
      <w:pPr>
        <w:pStyle w:val="ListBullet"/>
      </w:pPr>
      <w:r>
        <w:t>Poprawiono zapowiedź kalkulatora: scenariusz skali, bez obietnicy oszczędności.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