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2A44"/>
          <w:sz w:val="28"/>
        </w:rPr>
        <w:t>Kalkulator Rezyliencji FNP: co wiemy, czego nie wiemy, co sprawdzi walidacja</w:t>
      </w:r>
    </w:p>
    <w:p>
      <w:r>
        <w:t>Stan na 5 października 2026 r. Jedna strona na spotkanie 6 października. Szczegóły: docs/BRIEF-KALKULATOR-ODPOWIEDZI.md i załączniki w docs/dla-fundacji/.</w:t>
      </w:r>
    </w:p>
    <w:p>
      <w:pPr>
        <w:spacing w:before="120"/>
      </w:pPr>
      <w:r>
        <w:rPr>
          <w:b/>
          <w:color w:val="1F2A44"/>
          <w:sz w:val="22"/>
        </w:rPr>
        <w:t>Co to jest</w:t>
      </w:r>
    </w:p>
    <w:p>
      <w:r>
        <w:t xml:space="preserve">Kalkulator pokazuje </w:t>
      </w:r>
      <w:r>
        <w:rPr>
          <w:b/>
        </w:rPr>
        <w:t>scenariusz skali</w:t>
      </w:r>
      <w:r>
        <w:t>: ile mogłyby kosztować rotacja, późno zgłaszane błędy i wypalenie w firmie o podanych danych i podanym klimacie. To nie jest pomiar, wycena, prognoza ani obietnica oszczędności.</w:t>
      </w:r>
    </w:p>
    <w:p>
      <w:pPr>
        <w:spacing w:before="120"/>
      </w:pPr>
      <w:r>
        <w:rPr>
          <w:b/>
          <w:color w:val="1F2A44"/>
          <w:sz w:val="22"/>
        </w:rPr>
        <w:t>Co wiemy</w:t>
      </w:r>
    </w:p>
    <w:p>
      <w:pPr>
        <w:pStyle w:val="ListBullet"/>
      </w:pPr>
      <w:r>
        <w:rPr>
          <w:b/>
        </w:rPr>
        <w:t>Rachunek jest sprawdzony.</w:t>
      </w:r>
      <w:r>
        <w:t xml:space="preserve"> Model ma 325 testów i przeszedł dwa niezależne przeglądy logiki (3 i 4 października), które naprawiły błędy niezależne od danych. Firma przykładowa (500 etatów, 100 mln zł przychodu, rotacja 16%, klimat 41): 3,15 mln zł, od 2,39 do 3,96 mln zł. Przy klimacie o 10 punktów niższym 3,79 mln zł, przy wyższym 2,52 mln zł.</w:t>
      </w:r>
    </w:p>
    <w:p>
      <w:pPr>
        <w:pStyle w:val="ListBullet"/>
      </w:pPr>
      <w:r>
        <w:rPr>
          <w:b/>
        </w:rPr>
        <w:t>Założenia są jawne.</w:t>
      </w:r>
      <w:r>
        <w:t xml:space="preserve"> Każda liczba w modelu ma opisany status: założenie autora, wartość przypisana raportowi Ipsos albo wartość o nieustalonym pochodzeniu (Zał. 1).</w:t>
      </w:r>
    </w:p>
    <w:p>
      <w:pPr>
        <w:pStyle w:val="ListBullet"/>
      </w:pPr>
      <w:r>
        <w:rPr>
          <w:b/>
        </w:rPr>
        <w:t>Źródła są przejrzane.</w:t>
      </w:r>
      <w:r>
        <w:t xml:space="preserve"> Dla 46 cytowanych prac sprawdzono, czy istnieją i czy dane bibliograficzne są poprawne. Treść porównano z dokumentem pierwotnym dla około 20 z nich, dla pozostałych z abstraktem lub źródłem pośrednim. Badania uzasadniają mechanizm (strach, milczenie, ukrywanie błędów), nie przeliczniki na złote.</w:t>
      </w:r>
    </w:p>
    <w:p>
      <w:pPr>
        <w:pStyle w:val="ListBullet"/>
      </w:pPr>
      <w:r>
        <w:rPr>
          <w:b/>
        </w:rPr>
        <w:t>Narzędzia są gotowe do pilotażu:</w:t>
      </w:r>
      <w:r>
        <w:t xml:space="preserve"> kalkulator na stronie, narzędzie do liczenia wielu firm z wyników ankiety i do zestawienia dwóch pomiarów, formularz danych firmy (Zał. 3), demonstracja na konferencję (Rotunda).</w:t>
      </w:r>
    </w:p>
    <w:p>
      <w:pPr>
        <w:spacing w:before="120"/>
      </w:pPr>
      <w:r>
        <w:rPr>
          <w:b/>
          <w:color w:val="1F2A44"/>
          <w:sz w:val="22"/>
        </w:rPr>
        <w:t>Czego nie wiemy</w:t>
      </w:r>
    </w:p>
    <w:p>
      <w:pPr>
        <w:pStyle w:val="ListBullet"/>
      </w:pPr>
      <w:r>
        <w:rPr>
          <w:b/>
        </w:rPr>
        <w:t>Czy kwoty są trafne.</w:t>
      </w:r>
      <w:r>
        <w:t xml:space="preserve"> Modelu nie sprawdzono na danych żadnej firmy. Przeliczniki pieniężne są założeniami autora, a dwa z nich są powyżej tego, co dokumentują badania: koszt zastąpienia pracownika (model: 0,75 rocznej płacy; mediany w badaniach z opisaną metodą: około 0,2 dla typowego stanowiska) i koszt wypalenia.</w:t>
      </w:r>
    </w:p>
    <w:p>
      <w:pPr>
        <w:pStyle w:val="ListBullet"/>
      </w:pPr>
      <w:r>
        <w:rPr>
          <w:b/>
        </w:rPr>
        <w:t>Czy model jest zgodny z tabelami Ipsos.</w:t>
      </w:r>
      <w:r>
        <w:t xml:space="preserve"> Końce krzywych przypisano raportowi Ipsos × FNP, ale audytu tabel nie było, a model przy obecnym ustawieniu i tak do tych końców nie dochodzi (np. stabilność zespołu 66–78% zamiast 59–85%). Publicznie potwierdzone są tylko niektóre liczby (71%, 42%, 56%, 36%, 51%, 59%, 85% wobec 59%). Plan audytu na surowych danych: docs/walidacja/.</w:t>
      </w:r>
    </w:p>
    <w:p>
      <w:pPr>
        <w:pStyle w:val="ListBullet"/>
      </w:pPr>
      <w:r>
        <w:rPr>
          <w:b/>
        </w:rPr>
        <w:t>Jaką część odejść wiązać z klimatem.</w:t>
      </w:r>
      <w:r>
        <w:t xml:space="preserve"> Model przypisuje klimatowi część odejść z firmy (przy klimacie 41 około 29%, liczoną z wagą 0,5) i mnoży ją przez rotację podaną przez firmę. Ten udział wynika z krzywej modelu, nie z danych. Krajowego odniesienia 14,8% model już nie używa: okazało się, że nie jest to wskaźnik krajowy GUS.</w:t>
      </w:r>
    </w:p>
    <w:p>
      <w:pPr>
        <w:pStyle w:val="ListBullet"/>
      </w:pPr>
      <w:r>
        <w:rPr>
          <w:b/>
        </w:rPr>
        <w:t>Jak przeliczać wynik ankiety na klimat 0–100.</w:t>
      </w:r>
      <w:r>
        <w:t xml:space="preserve"> Dziś klimat to szacunek własny jednej osoby. Przeliczenie średniej z ankiety na tę skalę jest założeniem.</w:t>
      </w:r>
    </w:p>
    <w:p>
      <w:pPr>
        <w:pStyle w:val="ListBullet"/>
      </w:pPr>
      <w:r>
        <w:rPr>
          <w:b/>
        </w:rPr>
        <w:t>Jak mierzyć zmianę.</w:t>
      </w:r>
      <w:r>
        <w:t xml:space="preserve"> Narzędzie zestawia dwa pomiary, ale metody, która odróżni efekt programu od przypadku, jeszcze nie ma.</w:t>
      </w:r>
    </w:p>
    <w:p>
      <w:pPr>
        <w:spacing w:before="120"/>
      </w:pPr>
      <w:r>
        <w:rPr>
          <w:b/>
          <w:color w:val="1F2A44"/>
          <w:sz w:val="22"/>
        </w:rPr>
        <w:t>Co sprawdzi walidacja</w:t>
      </w:r>
    </w:p>
    <w:p>
      <w:pPr>
        <w:pStyle w:val="ListNumber"/>
      </w:pPr>
      <w:r>
        <w:rPr>
          <w:b/>
        </w:rPr>
        <w:t>Czy ankieta mierzy to, co ma mierzyć</w:t>
      </w:r>
      <w:r>
        <w:t xml:space="preserve"> na poziomie zespołu (z psychometrą).</w:t>
      </w:r>
    </w:p>
    <w:p>
      <w:pPr>
        <w:pStyle w:val="ListNumber"/>
      </w:pPr>
      <w:r>
        <w:rPr>
          <w:b/>
        </w:rPr>
        <w:t>Czy scenariusz idzie w parze z danymi firm:</w:t>
      </w:r>
      <w:r>
        <w:t xml:space="preserve"> rotacją, absencją, błędami, zgłoszonymi pomysłami (Zał. 2 i 3).</w:t>
      </w:r>
    </w:p>
    <w:p>
      <w:pPr>
        <w:pStyle w:val="ListNumber"/>
      </w:pPr>
      <w:r>
        <w:rPr>
          <w:b/>
        </w:rPr>
        <w:t>Czy zmiana po działaniach jest widoczna</w:t>
      </w:r>
      <w:r>
        <w:t xml:space="preserve"> w ponownym pomiarze, z porównaniem zespołów objętych i nieobjętych.</w:t>
      </w:r>
    </w:p>
    <w:p>
      <w:r>
        <w:t>Plan zakłada 15 firm w pierwszej fazie. To wystarcza do opisu, nie do potwierdzenia ani obalenia modelu (moc testu około 19%). Wniosek potwierdzający wymaga około 61 firm przy silnym związku albo około 85 przy umiarkowanym. Dwie firmy pozwalają sprawdzić wykonalność i związki między zespołami wewnątrz firmy. Stan: dwie firmy wstępnie zainteresowane, pilotaż nierozpoczęty, protokół niezarejestrowany.</w:t>
      </w:r>
    </w:p>
    <w:p>
      <w:pPr>
        <w:spacing w:before="120"/>
      </w:pPr>
      <w:r>
        <w:rPr>
          <w:b/>
          <w:color w:val="1F2A44"/>
          <w:sz w:val="22"/>
        </w:rPr>
        <w:t>Decyzje na spotkanie</w:t>
      </w:r>
    </w:p>
    <w:p>
      <w:pPr>
        <w:pStyle w:val="ListNumber"/>
      </w:pPr>
      <w:r>
        <w:rPr>
          <w:b/>
        </w:rPr>
        <w:t>Skale ankiety:</w:t>
      </w:r>
      <w:r>
        <w:t xml:space="preserve"> pytania Ipsos czy skale z literatury. Skala UWES wymaga umowy przy użyciu komercyjnym; dla pozostałych nie znaleziono jawnej licencji.</w:t>
      </w:r>
    </w:p>
    <w:p>
      <w:pPr>
        <w:pStyle w:val="ListNumber"/>
      </w:pPr>
      <w:r>
        <w:rPr>
          <w:b/>
        </w:rPr>
        <w:t>Prawa do narzędzia:</w:t>
      </w:r>
      <w:r>
        <w:t xml:space="preserve"> autor przekazuje Fundacji kalkulator wraz ze swoją pracą w zamian za udział w zyskach i wspiera sprzedaż. Do spisania: umowa i licencja (dziś kod jest na MIT).</w:t>
      </w:r>
    </w:p>
    <w:p>
      <w:pPr>
        <w:pStyle w:val="ListNumber"/>
      </w:pPr>
      <w:r>
        <w:rPr>
          <w:b/>
        </w:rPr>
        <w:t>Dane:</w:t>
      </w:r>
      <w:r>
        <w:t xml:space="preserve"> kto jest administratorem, jak długo je trzymamy, czy mogą zasilać benchmark (Zał. 4).</w:t>
      </w:r>
    </w:p>
    <w:p>
      <w:pPr>
        <w:pStyle w:val="ListNumber"/>
      </w:pPr>
      <w:r>
        <w:rPr>
          <w:b/>
        </w:rPr>
        <w:t>Pilotaż:</w:t>
      </w:r>
      <w:r>
        <w:t xml:space="preserve"> która firma, kiedy, i kto rejestruje protokół.</w:t>
      </w:r>
    </w:p>
    <w:p>
      <w:pPr>
        <w:pStyle w:val="ListNumber"/>
      </w:pPr>
      <w:r>
        <w:rPr>
          <w:b/>
        </w:rPr>
        <w:t>Dane Ipsos:</w:t>
      </w:r>
      <w:r>
        <w:t xml:space="preserve"> dostęp do surowych danych i kwestionariusza, żeby zamknąć audyt (gotowa prośba: docs/walidacja/prosba-o-dane-ipsos.md). Przed otwarciem danych trzeba ustalić, co robimy, jeśli dane okażą się bardziej strome niż model: uczciwe dopasowanie mogłoby podnieść kwoty powyżej 5% przychodu.</w:t>
      </w:r>
    </w:p>
    <w:p>
      <w:pPr>
        <w:pStyle w:val="ListNumber"/>
      </w:pPr>
      <w:r>
        <w:rPr>
          <w:b/>
        </w:rPr>
        <w:t>Przeliczniki na złote:</w:t>
      </w:r>
      <w:r>
        <w:t xml:space="preserve"> czy zostają założenia autora z jawnym statusem do czasu pilotażu, czy obniżamy je teraz do wartości udokumentowanych.</w:t>
      </w:r>
    </w:p>
    <w:sectPr w:rsidR="00FC693F" w:rsidRPr="0006063C" w:rsidSect="00034616"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