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 1. Założenia Kalkulatora i ich status</w:t>
      </w:r>
    </w:p>
    <w:p>
      <w:r>
        <w:rPr>
          <w:i/>
        </w:rPr>
        <w:t>Wersja robocza dla Fundacji Nowe Przestrzenie, 3 października 2026 r. Stan kodu: 2026.39.2.1. Dotyczy pytań 15–18 briefu.</w:t>
      </w:r>
    </w:p>
    <w:p>
      <w:pPr>
        <w:pStyle w:val="Heading1"/>
      </w:pPr>
      <w:r>
        <w:t>1. Czym jest wynik</w:t>
      </w:r>
    </w:p>
    <w:p>
      <w:r>
        <w:t xml:space="preserve">Kalkulator tworzy </w:t>
      </w:r>
      <w:r>
        <w:rPr>
          <w:b/>
        </w:rPr>
        <w:t>scenariusz skali</w:t>
      </w:r>
      <w:r>
        <w:t xml:space="preserve"> kosztu milczenia przy zadanych warunkach. Nie jest wyceną księgową, prognozą, szacunkiem przyczynowym ani obietnicą zwrotu z inwestycji. „Prior” oznacza tu założenie startowe autora, a nie rozkład wyestymowany z danych polskich firm.</w:t>
      </w:r>
    </w:p>
    <w:p>
      <w:r>
        <w:rPr>
          <w:b/>
        </w:rPr>
        <w:t>Przykład referencyjny:</w:t>
      </w:r>
      <w:r>
        <w:t xml:space="preserve"> firma o przychodzie 100 mln zł, 500 FTE, średniej rocznej płacy brutto 90 000 zł, deklarowanej rotacji 16% i klimacie 41/100. Wynik: </w:t>
      </w:r>
      <w:r>
        <w:rPr>
          <w:b/>
        </w:rPr>
        <w:t>3,15 mln zł, czyli 3,1% przychodu</w:t>
      </w:r>
      <w:r>
        <w:t>; granice scenariusza 2,39–3,96 mln zł. Na sumę składają się: błędy i compliance 0,94 mln zł, rotacja i utrata wiedzy 0,83 mln zł, wypalenie i pasywność 1,38 mln zł. Przy klimacie o 10 punktów niższym suma wynosi 3,79 mln zł, przy wyższym 2,52 mln zł. (Przed korektami modelu z października 2026 r. było to 3,32 mln zł; opis zmian w sekcji 7.) Dwa pozostałe obszary (innowacje i uczenie się, koordynacja i hierarchia) są pokazywane poza sumą, bez dodawania złotych.</w:t>
      </w:r>
    </w:p>
    <w:p>
      <w:pPr>
        <w:pStyle w:val="Heading1"/>
      </w:pPr>
      <w:r>
        <w:t>2. Jakie dane wchodzą</w:t>
      </w:r>
    </w:p>
    <w:p>
      <w:r>
        <w:t>Przychód, koszty, liczba FTE, średnia roczna płaca brutto, deklarowana roczna rotacja oraz jeden suwak klimatu 0–100 z kotwicami behawioralnymi (szacunek własny, nie pomiar). Przychód jest mianownikiem procentu, koszty służą tylko do marży. Kwotę wyznaczają FTE, płaca, rotacja i klimat.</w:t>
      </w:r>
    </w:p>
    <w:p>
      <w:pPr>
        <w:pStyle w:val="Heading1"/>
      </w:pPr>
      <w:r>
        <w:t>3. Status założeń</w:t>
      </w:r>
    </w:p>
    <w:p>
      <w:r>
        <w:t xml:space="preserve">Najważniejsze zasady: badania uzasadniają </w:t>
      </w:r>
      <w:r>
        <w:rPr>
          <w:b/>
        </w:rPr>
        <w:t>mechanizm</w:t>
      </w:r>
      <w:r>
        <w:t>, a nie przeliczniki pieniężne. Otwarty kod pozwala sprawdzić rachunek, ale nie dowodzi prawdziwości założeń. Etykieta „validated” w kodzie określa zakres sumy, a nie empiryczną trafność kwoty.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DCE3EF"/>
          </w:tcPr>
          <w:p>
            <w:r/>
            <w:r>
              <w:rPr>
                <w:b/>
                <w:sz w:val="19"/>
              </w:rPr>
              <w:t>Blok</w:t>
            </w:r>
          </w:p>
        </w:tc>
        <w:tc>
          <w:tcPr>
            <w:tcW w:type="dxa" w:w="2381"/>
            <w:shd w:val="clear" w:color="auto" w:fill="DCE3EF"/>
          </w:tcPr>
          <w:p>
            <w:r/>
            <w:r>
              <w:rPr>
                <w:b/>
                <w:sz w:val="19"/>
              </w:rPr>
              <w:t>Wartość startowa (FNP)</w:t>
            </w:r>
          </w:p>
        </w:tc>
        <w:tc>
          <w:tcPr>
            <w:tcW w:type="dxa" w:w="1814"/>
            <w:shd w:val="clear" w:color="auto" w:fill="DCE3EF"/>
          </w:tcPr>
          <w:p>
            <w:r/>
            <w:r>
              <w:rPr>
                <w:b/>
                <w:sz w:val="19"/>
              </w:rPr>
              <w:t>Status</w:t>
            </w:r>
          </w:p>
        </w:tc>
        <w:tc>
          <w:tcPr>
            <w:tcW w:type="dxa" w:w="3061"/>
            <w:shd w:val="clear" w:color="auto" w:fill="DCE3EF"/>
          </w:tcPr>
          <w:p>
            <w:r/>
            <w:r>
              <w:rPr>
                <w:b/>
                <w:sz w:val="19"/>
              </w:rPr>
              <w:t>Co wolno twierdzić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Końce krzywych reakcji wskaźników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przypisane do Ipsos × FNP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Źródło prywatne, audyt tabel w toku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Nie mówimy, że model jest skalibrowany na Ipsos.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Środki i stromości krzywych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stromość × 0,30; środki lęku +4 pkt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Kształt reakcji, nie krzywa dopasowana do danych.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Koszt zastąpienia pracownika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0,75 rocznej płacy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prior, powyżej udokumentowanej mediany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Badania z opisaną metodą podają medianę około 0,2 rocznej płacy dla typowego stanowiska (Boushey i Glynn 2012). W diagnozie ma go zastąpić koszt z danych firmy.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Krajowe odniesienie rotacji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nie jest używane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Usunięte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Wcześniejsza wartość 14,8% nie była wskaźnikiem krajowym GUS (GUS: 19,7% w 2023 r. i 18,7% w 2024 r., wszystkie odejścia). Firma podaje własną rotację.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Rotacja: udział odejść przypisany klimatowi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rotacja firmy × udział z krzywej modelu (przy klimacie 41 około 29%) × waga 0,5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 (waga 0,5 i kształt krzywej)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Kwota rośnie proporcjonalnie do rotacji podanej przez firmę i jest zerowa przy klimacie 100. Nie dowodzi przyczyny odejść.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Wzmocnienie kosztu rotacji przy blokowaniu głosu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0,10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Teoria uzasadnia mechanizm, nie wielkość.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Koszt wypalenia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płace × b × (1 + 0,5 b) × 0,25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b to wskaźnik modelowy, nie rozpoznanie zdrowia pracowników.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Korekta nakładania kosztów wypalenia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0,75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Ekspercki prior autora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Ogranicza podwójne liczenie, nie jest dekorelacją statystyczną.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Kara za milczenie automatyczne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0,04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Założenie o przeniesieniu mechanizmu, nie oszacowana wielkość.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Wagi rodzajów milczenia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znormalizowane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Przesuwają koszt między trzema obszarami sumy i nie zmieniają jej wysokości.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Stromość krzywych: pochodzenie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0,30 (wersja ostrożna)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wybór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Wartość wyjściowa silnika była dobrana pod docelowe sumy, których poprawiony model już nie odtwarza. Przy 0,30 model używa tylko środkowej części krzywych i nie dochodzi do wartości końcowych przypisanych raportowi (np. stabilność zespołu 66–78% zamiast 59–85%).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Częstość i koszt zdarzeń błędów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tabela poniżej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Założenia operacyjne scenariusza.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sz w:val="19"/>
              </w:rPr>
              <w:t>Pasmo niepewności</w:t>
            </w:r>
          </w:p>
        </w:tc>
        <w:tc>
          <w:tcPr>
            <w:tcW w:type="dxa" w:w="2381"/>
          </w:tcPr>
          <w:p>
            <w:r>
              <w:rPr>
                <w:sz w:val="19"/>
              </w:rPr>
            </w:r>
            <w:r>
              <w:rPr>
                <w:sz w:val="19"/>
              </w:rPr>
              <w:t>2000 losowań; rozrzut 0,35 (błędy), 0,25 (rotacja, wypalenie); wspólny czynnik 0,5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Autorski prior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</w:r>
            <w:r>
              <w:rPr>
                <w:sz w:val="19"/>
              </w:rPr>
              <w:t>Granice scenariusza, nie przedział ufności straty firmy.</w:t>
            </w:r>
          </w:p>
        </w:tc>
      </w:tr>
    </w:tbl>
    <w:p/>
    <w:p>
      <w:pPr>
        <w:pStyle w:val="Heading3"/>
      </w:pPr>
      <w:r>
        <w:t>Rozkład zdarzeń błędów (na 1 FTE rocznie)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shd w:val="clear" w:color="auto" w:fill="DCE3EF"/>
          </w:tcPr>
          <w:p>
            <w:r/>
            <w:r>
              <w:rPr>
                <w:b/>
                <w:sz w:val="19"/>
              </w:rPr>
              <w:t>Kategoria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Zdarzeń / FTE / rok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Koszt wczesny, zł</w:t>
            </w:r>
          </w:p>
        </w:tc>
        <w:tc>
          <w:tcPr>
            <w:tcW w:type="dxa" w:w="2041"/>
            <w:shd w:val="clear" w:color="auto" w:fill="DCE3EF"/>
          </w:tcPr>
          <w:p>
            <w:r/>
            <w:r>
              <w:rPr>
                <w:b/>
                <w:sz w:val="19"/>
              </w:rPr>
              <w:t>Koszt późny (mnożnik)</w:t>
            </w:r>
          </w:p>
        </w:tc>
        <w:tc>
          <w:tcPr>
            <w:tcW w:type="dxa" w:w="1928"/>
            <w:shd w:val="clear" w:color="auto" w:fill="DCE3EF"/>
          </w:tcPr>
          <w:p>
            <w:r/>
            <w:r>
              <w:rPr>
                <w:b/>
                <w:sz w:val="19"/>
              </w:rPr>
              <w:t>Podatność na ukrycie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drobne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1,5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0,60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średnie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2,5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0,30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poważne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50 000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3,5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0,15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</w:r>
            <w:r>
              <w:rPr>
                <w:sz w:val="19"/>
              </w:rPr>
              <w:t>krytyczne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0,006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250 000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sz w:val="19"/>
              </w:rPr>
              <w:t>5,0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</w:r>
            <w:r>
              <w:rPr>
                <w:sz w:val="19"/>
              </w:rPr>
              <w:t>0,05</w:t>
            </w:r>
          </w:p>
        </w:tc>
      </w:tr>
    </w:tbl>
    <w:p/>
    <w:p>
      <w:r>
        <w:t>Przy 500 FTE model zakłada 25 poważnych i 3 krytyczne zdarzenia rocznie przed ukrywaniem. Wszystkie wartości są autorskie. Poważne zdarzenia skalują się liniowo z FTE, co może nie pasować do ryzyk występujących raz na organizację.</w:t>
      </w:r>
    </w:p>
    <w:p>
      <w:pPr>
        <w:pStyle w:val="Heading1"/>
      </w:pPr>
      <w:r>
        <w:t>4. Skąd wiemy, że mechanizm jest sensowny</w:t>
      </w:r>
    </w:p>
    <w:p>
      <w:pPr>
        <w:pStyle w:val="ListBullet"/>
      </w:pPr>
      <w:r>
        <w:t>Kiewitz i in. (2016): nadużycia przełożonych, strach i milczenie obronne w trzech badaniach. Podstawa opisu mechanizmu, nie przelicznik pieniężny.</w:t>
      </w:r>
    </w:p>
    <w:p>
      <w:pPr>
        <w:pStyle w:val="ListBullet"/>
      </w:pPr>
      <w:r>
        <w:t>Adamska (2016): rozróżnienie milczenia związanego ze społecznie podzielanymi przekonaniami i milczenia jako taktyki. Nie ustanawia wartości 0,04.</w:t>
      </w:r>
    </w:p>
    <w:p>
      <w:pPr>
        <w:pStyle w:val="ListBullet"/>
      </w:pPr>
      <w:r>
        <w:t>Penney (2016): efekt mrożenia po ujawnieniach nadzoru państwowego (Wikipedia, 2013). Nie uzasadnia przeniesienia wielkości efektu na pracowników ani złote.</w:t>
      </w:r>
    </w:p>
    <w:p>
      <w:pPr>
        <w:pStyle w:val="ListBullet"/>
      </w:pPr>
      <w:r>
        <w:t>Ipsos × FNP 2026 jest kontekstem polskim. Audyt tabel jest w toku, więc nie podajemy go jako kalibracji.</w:t>
      </w:r>
    </w:p>
    <w:p>
      <w:pPr>
        <w:pStyle w:val="ListBullet"/>
      </w:pPr>
      <w:r>
        <w:t>W październiku 2026 r. sprawdzono 46 cytowanych źródeł: czy istnieją, czy dane bibliograficzne są poprawne i czy mówią to, co im przypisano. Koszt zastąpienia pracownika (0,75 rocznej płacy) pozostaje założeniem autora; SHRM podaje zakres 50–200% rocznej płacy, zależnie od stanowiska.</w:t>
      </w:r>
    </w:p>
    <w:p>
      <w:pPr>
        <w:pStyle w:val="Heading1"/>
      </w:pPr>
      <w:r>
        <w:t>5. Język: co wolno, czego 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762"/>
            <w:shd w:val="clear" w:color="auto" w:fill="DCE3EF"/>
          </w:tcPr>
          <w:p>
            <w:r/>
            <w:r>
              <w:rPr>
                <w:b/>
                <w:sz w:val="19"/>
              </w:rPr>
              <w:t>Wolno</w:t>
            </w:r>
          </w:p>
        </w:tc>
        <w:tc>
          <w:tcPr>
            <w:tcW w:type="dxa" w:w="4762"/>
            <w:shd w:val="clear" w:color="auto" w:fill="DCE3EF"/>
          </w:tcPr>
          <w:p>
            <w:r/>
            <w:r>
              <w:rPr>
                <w:b/>
                <w:sz w:val="19"/>
              </w:rPr>
              <w:t>Nie wolno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scenariusz, profil ryzyka, założenie użytkownika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zmierzony lub prawdziwy koszt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granice scenariusza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przedział ufności; „model skalibrowany na Ipsos”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związek, współwystępowanie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„spowodowało”, jeśli badanie nie jest przyczynowe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szacunek własny klimatu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pomiar klimatu (suwak nim nie jest)</w:t>
            </w:r>
          </w:p>
        </w:tc>
      </w:tr>
      <w:tr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scenariusz skali</w:t>
            </w:r>
          </w:p>
        </w:tc>
        <w:tc>
          <w:tcPr>
            <w:tcW w:type="dxa" w:w="4762"/>
          </w:tcPr>
          <w:p>
            <w:r>
              <w:rPr>
                <w:sz w:val="19"/>
              </w:rPr>
            </w:r>
            <w:r>
              <w:rPr>
                <w:sz w:val="19"/>
              </w:rPr>
              <w:t>oszczędności, ROI, zwrot z programu</w:t>
            </w:r>
          </w:p>
        </w:tc>
      </w:tr>
    </w:tbl>
    <w:p/>
    <w:p>
      <w:pPr>
        <w:pStyle w:val="Heading1"/>
      </w:pPr>
      <w:r>
        <w:t>6. Granice wnioskowania</w:t>
      </w:r>
    </w:p>
    <w:p>
      <w:pPr>
        <w:pStyle w:val="ListBullet"/>
      </w:pPr>
      <w:r>
        <w:t>Udział odejść przypisany klimatowi wynika z krzywej modelu, nie z danych firm.</w:t>
      </w:r>
    </w:p>
    <w:p>
      <w:pPr>
        <w:pStyle w:val="ListBullet"/>
      </w:pPr>
      <w:r>
        <w:t>Końce krzywych przypisane do Ipsos czekają na audyt tabel.</w:t>
      </w:r>
    </w:p>
    <w:p>
      <w:pPr>
        <w:pStyle w:val="ListBullet"/>
      </w:pPr>
      <w:r>
        <w:t>Testy i weryfikacja wzorów nie są walidacją empiryczną kwot. Plan walidacji: Załącznik 2.</w:t>
      </w:r>
    </w:p>
    <w:p>
      <w:pPr>
        <w:pStyle w:val="ListBullet"/>
      </w:pPr>
      <w:r>
        <w:t>Pasmo nie uwzględnia niepewności samego klimatu, błędów danych wejściowych ani struktury modelu.</w:t>
      </w:r>
    </w:p>
    <w:p>
      <w:pPr>
        <w:pStyle w:val="ListBullet"/>
      </w:pPr>
      <w:r>
        <w:t>Model liczy firmę jako całość. Nie rozróżnia zespołów, pracy zmianowej ani typu pracy.</w:t>
      </w:r>
    </w:p>
    <w:p>
      <w:pPr>
        <w:pStyle w:val="Heading1"/>
      </w:pPr>
      <w:r>
        <w:t>7. Korekty modelu z października 2026 r.</w:t>
      </w:r>
    </w:p>
    <w:p>
      <w:r>
        <w:t>Dwa niezależne przeglądy logiki (3 i 4 października) znalazły błędy niezależne od wartości współczynników. Kwota firmy przykładowej zmieniła się z 3,32 na 3,15 mln zł. W domyślnym działaniu strony drugi przegląd nie znalazł już błędu zmieniającego liczbę.</w:t>
      </w:r>
    </w:p>
    <w:p>
      <w:pPr>
        <w:pStyle w:val="ListBullet"/>
      </w:pPr>
      <w:r>
        <w:rPr>
          <w:b/>
        </w:rPr>
        <w:t>Rotacja.</w:t>
      </w:r>
      <w:r>
        <w:t xml:space="preserve"> Deklarowana rotacja prawie nie wpływała na wynik: każda wartość od około 9% w górę dawała tę samą kwotę. Teraz składnik rotacji jest proporcjonalny do rotacji podanej przez firmę: model przypisuje klimatowi część jej odejść i wlicza ją z wagą 0,5. Rotacja jest polem obowiązkowym, a krajowe odniesienie 14,8% zostało usunięte.</w:t>
      </w:r>
    </w:p>
    <w:p>
      <w:pPr>
        <w:pStyle w:val="ListBullet"/>
      </w:pPr>
      <w:r>
        <w:rPr>
          <w:b/>
        </w:rPr>
        <w:t>Braki danych.</w:t>
      </w:r>
      <w:r>
        <w:t xml:space="preserve"> Brak klimatu był liczony jak klimat 0, a spacja w polu jak zero. Teraz brak lub błędna wartość zatrzymuje obliczenie.</w:t>
      </w:r>
    </w:p>
    <w:p>
      <w:pPr>
        <w:pStyle w:val="ListBullet"/>
      </w:pPr>
      <w:r>
        <w:rPr>
          <w:b/>
        </w:rPr>
        <w:t>Podwójne naliczenia.</w:t>
      </w:r>
      <w:r>
        <w:t xml:space="preserve"> Usunięto cztery wzmocnienia, które liczyły ten sam efekt drugi raz (m.in. obwinianie w obszarze błędów).</w:t>
      </w:r>
    </w:p>
    <w:p>
      <w:pPr>
        <w:pStyle w:val="ListBullet"/>
      </w:pPr>
      <w:r>
        <w:rPr>
          <w:b/>
        </w:rPr>
        <w:t>Wagi rodzajów milczenia</w:t>
      </w:r>
      <w:r>
        <w:t xml:space="preserve"> podnosiły sumę jak stały mnożnik. Teraz tylko przesuwają koszt między obszarami.</w:t>
      </w:r>
    </w:p>
    <w:p>
      <w:pPr>
        <w:pStyle w:val="ListBullet"/>
      </w:pPr>
      <w:r>
        <w:rPr>
          <w:b/>
        </w:rPr>
        <w:t>Zakres „od–do”</w:t>
      </w:r>
      <w:r>
        <w:t xml:space="preserve"> w pełnym kalkulatorze skakał losowo przy zmianie danych. Teraz każdy scenariusz używa tych samych losowań.</w:t>
      </w:r>
    </w:p>
    <w:p>
      <w:pPr>
        <w:pStyle w:val="ListBullet"/>
      </w:pPr>
      <w:r>
        <w:rPr>
          <w:b/>
        </w:rPr>
        <w:t>Narzędzie wsadowe</w:t>
      </w:r>
      <w:r>
        <w:t xml:space="preserve"> czytało zapis „90.000” jako 90 zł i odwracało kolejność pomiarów opisanych słowami. Oba błędy naprawiono.</w:t>
      </w:r>
    </w:p>
    <w:p>
      <w:r>
        <w:t>Silnik obliczeń jest wspólny dla kalkulatora FNP i dla silence-tax.com (ten sam kod w obu).</w:t>
      </w:r>
    </w:p>
    <w:p>
      <w:pPr>
        <w:pStyle w:val="Heading2"/>
      </w:pPr>
      <w:r>
        <w:t>Czym ta wersja różni się od źródłowej</w:t>
      </w:r>
    </w:p>
    <w:p>
      <w:pPr>
        <w:pStyle w:val="ListBullet"/>
      </w:pPr>
      <w:r>
        <w:t>Źródło: dokument „Priory FNP: instrukcja dla analityka” oraz rejestr statusu parametrów z repozytorium silence-tax.com, przepisane na język zarządu i Fundacji.</w:t>
      </w:r>
    </w:p>
    <w:p>
      <w:pPr>
        <w:pStyle w:val="ListBullet"/>
      </w:pPr>
      <w:r>
        <w:t>Pominięto instrukcję techniczną (nadpisywanie parametrów, kod, testy brzegowe).</w:t>
      </w:r>
    </w:p>
    <w:p>
      <w:pPr>
        <w:pStyle w:val="ListBullet"/>
      </w:pPr>
      <w:r>
        <w:t>Pełna wersja na silence-tax.com zawiera dodatkowo 13 modułów kosztów i katalog interwencji z optymalizatorem. Nie jest częścią oferty Fundacji. Wartości interwencji są tam również priorami autora, nie efektami przyczynowymi.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