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Załącznik 2. Protokół walidacji ankiety i Kalkulatora</w:t>
      </w:r>
    </w:p>
    <w:p>
      <w:r>
        <w:rPr>
          <w:i/>
        </w:rPr>
        <w:t>Wersja robocza dla Fundacji Nowe Przestrzenie, 3 października 2026 r. Dotyczy pytań 9, 11, 12, 21–24, 26 i 41 briefu.</w:t>
      </w:r>
    </w:p>
    <w:p>
      <w:pPr>
        <w:pStyle w:val="Heading1"/>
      </w:pPr>
      <w:r>
        <w:t>1. Po co walidacja</w:t>
      </w:r>
    </w:p>
    <w:p>
      <w:r>
        <w:t>Dziś Kalkulator ma sprawdzony rachunek, ale nie ma sprawdzonej trafności kwot na danych firm (Załącznik 1). Protokół opisuje, jak to zmienić: przez badanie na firmach, z hipotezami i kryterium porażki ustalonymi przed zebraniem danych.</w:t>
      </w:r>
    </w:p>
    <w:p>
      <w:r>
        <w:rPr>
          <w:b/>
        </w:rPr>
        <w:t>Zastrzeżenie o aktualności.</w:t>
      </w:r>
      <w:r>
        <w:t xml:space="preserve"> Obowiązujący jest krótki protokół v2 (13 lipca 2026): trzy fazy z sekcji 2. Szczegóły w sekcjach 3–6 pochodzą ze starszego, obszerniejszego protokołu (4 lipca 2026), napisanego przed przebudową modelu na scenariusze. Tamten dokument opisuje model jako skalibrowany i przyjmuje inne wartości startowe niż wersja FNP. Liczby z sekcji 3–6 traktujemy jako punkt wyjścia do aktualizacji z psychometrą, nie jako ustalenia.</w:t>
      </w:r>
    </w:p>
    <w:p>
      <w:pPr>
        <w:pStyle w:val="Heading1"/>
      </w:pPr>
      <w:r>
        <w:t>2. Trzy fazy</w:t>
      </w:r>
    </w:p>
    <w:tbl>
      <w:tblPr>
        <w:tblStyle w:val="TableGrid"/>
        <w:tblW w:type="auto" w:w="0"/>
        <w:jc w:val="center"/>
        <w:tblLook w:firstColumn="1" w:firstRow="1" w:lastColumn="0" w:lastRow="0" w:noHBand="0" w:noVBand="1" w:val="04A0"/>
      </w:tblPr>
      <w:tblGrid>
        <w:gridCol w:w="3249"/>
        <w:gridCol w:w="3249"/>
        <w:gridCol w:w="3249"/>
      </w:tblGrid>
      <w:tr>
        <w:tc>
          <w:tcPr>
            <w:tcW w:type="dxa" w:w="1928"/>
            <w:shd w:val="clear" w:color="auto" w:fill="DCE3EF"/>
          </w:tcPr>
          <w:p>
            <w:r/>
            <w:r>
              <w:rPr>
                <w:b/>
                <w:sz w:val="19"/>
              </w:rPr>
              <w:t>Faza</w:t>
            </w:r>
          </w:p>
        </w:tc>
        <w:tc>
          <w:tcPr>
            <w:tcW w:type="dxa" w:w="4649"/>
            <w:shd w:val="clear" w:color="auto" w:fill="DCE3EF"/>
          </w:tcPr>
          <w:p>
            <w:r/>
            <w:r>
              <w:rPr>
                <w:b/>
                <w:sz w:val="19"/>
              </w:rPr>
              <w:t>Co robimy</w:t>
            </w:r>
          </w:p>
        </w:tc>
        <w:tc>
          <w:tcPr>
            <w:tcW w:type="dxa" w:w="2948"/>
            <w:shd w:val="clear" w:color="auto" w:fill="DCE3EF"/>
          </w:tcPr>
          <w:p>
            <w:r/>
            <w:r>
              <w:rPr>
                <w:b/>
                <w:sz w:val="19"/>
              </w:rPr>
              <w:t>Czego nie robimy</w:t>
            </w:r>
          </w:p>
        </w:tc>
      </w:tr>
      <w:tr>
        <w:tc>
          <w:tcPr>
            <w:tcW w:type="dxa" w:w="1928"/>
          </w:tcPr>
          <w:p>
            <w:r>
              <w:rPr>
                <w:sz w:val="19"/>
              </w:rPr>
            </w:r>
            <w:r>
              <w:rPr>
                <w:sz w:val="19"/>
              </w:rPr>
              <w:t>A. Pomiar i klasyfikacja</w:t>
            </w:r>
          </w:p>
        </w:tc>
        <w:tc>
          <w:tcPr>
            <w:tcW w:type="dxa" w:w="4649"/>
          </w:tcPr>
          <w:p>
            <w:r>
              <w:rPr>
                <w:sz w:val="19"/>
              </w:rPr>
            </w:r>
            <w:r>
              <w:rPr>
                <w:sz w:val="19"/>
              </w:rPr>
              <w:t>Zwalidowana skala bezpieczeństwa psychologicznego na poziomie zespołu; zasady agregacji ustalone z góry; klasyfikacja zdarzeń do kanałów przez co najmniej dwóch niezależnych koderów, ze zgodnością koderów.</w:t>
            </w:r>
          </w:p>
        </w:tc>
        <w:tc>
          <w:tcPr>
            <w:tcW w:type="dxa" w:w="2948"/>
          </w:tcPr>
          <w:p>
            <w:r>
              <w:rPr>
                <w:sz w:val="19"/>
              </w:rPr>
            </w:r>
            <w:r>
              <w:rPr>
                <w:sz w:val="19"/>
              </w:rPr>
              <w:t>Nie zmieniamy zasad agregacji po zobaczeniu wyników.</w:t>
            </w:r>
          </w:p>
        </w:tc>
      </w:tr>
      <w:tr>
        <w:tc>
          <w:tcPr>
            <w:tcW w:type="dxa" w:w="1928"/>
          </w:tcPr>
          <w:p>
            <w:r>
              <w:rPr>
                <w:sz w:val="19"/>
              </w:rPr>
            </w:r>
            <w:r>
              <w:rPr>
                <w:sz w:val="19"/>
              </w:rPr>
              <w:t>B. Rekonstrukcja wyceny</w:t>
            </w:r>
          </w:p>
        </w:tc>
        <w:tc>
          <w:tcPr>
            <w:tcW w:type="dxa" w:w="4649"/>
          </w:tcPr>
          <w:p>
            <w:r>
              <w:rPr>
                <w:sz w:val="19"/>
              </w:rPr>
            </w:r>
            <w:r>
              <w:rPr>
                <w:sz w:val="19"/>
              </w:rPr>
              <w:t>Zagregowane dane o odejściach, incydentach, absencji, czasie i szansach operacyjnych. Oddzielamy kwoty obserwowane od udziałów atrybucji.</w:t>
            </w:r>
          </w:p>
        </w:tc>
        <w:tc>
          <w:tcPr>
            <w:tcW w:type="dxa" w:w="2948"/>
          </w:tcPr>
          <w:p>
            <w:r>
              <w:rPr>
                <w:sz w:val="19"/>
              </w:rPr>
            </w:r>
            <w:r>
              <w:rPr>
                <w:sz w:val="19"/>
              </w:rPr>
              <w:t>Nie deklarujemy przyczynowości.</w:t>
            </w:r>
          </w:p>
        </w:tc>
      </w:tr>
      <w:tr>
        <w:tc>
          <w:tcPr>
            <w:tcW w:type="dxa" w:w="1928"/>
          </w:tcPr>
          <w:p>
            <w:r>
              <w:rPr>
                <w:sz w:val="19"/>
              </w:rPr>
            </w:r>
            <w:r>
              <w:rPr>
                <w:sz w:val="19"/>
              </w:rPr>
              <w:t>C. Pilotaż interwencji</w:t>
            </w:r>
          </w:p>
        </w:tc>
        <w:tc>
          <w:tcPr>
            <w:tcW w:type="dxa" w:w="4649"/>
          </w:tcPr>
          <w:p>
            <w:r>
              <w:rPr>
                <w:sz w:val="19"/>
              </w:rPr>
            </w:r>
            <w:r>
              <w:rPr>
                <w:sz w:val="19"/>
              </w:rPr>
              <w:t>Wyniki pierwotne określone przed wdrożeniem; porównanie w czasie i, jeśli to możliwe, grupa odniesienia; ujawniamy odchylenia od protokołu.</w:t>
            </w:r>
          </w:p>
        </w:tc>
        <w:tc>
          <w:tcPr>
            <w:tcW w:type="dxa" w:w="2948"/>
          </w:tcPr>
          <w:p>
            <w:r>
              <w:rPr>
                <w:sz w:val="19"/>
              </w:rPr>
            </w:r>
            <w:r>
              <w:rPr>
                <w:sz w:val="19"/>
              </w:rPr>
              <w:t>Nie liczymy ROI bez obserwowanych kosztów wdrożenia i efektów.</w:t>
            </w:r>
          </w:p>
        </w:tc>
      </w:tr>
    </w:tbl>
    <w:p/>
    <w:p>
      <w:pPr>
        <w:pStyle w:val="Heading1"/>
      </w:pPr>
      <w:r>
        <w:t>3. Plan badania (Faza 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DCE3EF"/>
          </w:tcPr>
          <w:p>
            <w:r/>
            <w:r>
              <w:rPr>
                <w:b/>
                <w:sz w:val="19"/>
              </w:rPr>
              <w:t>Element</w:t>
            </w:r>
          </w:p>
        </w:tc>
        <w:tc>
          <w:tcPr>
            <w:tcW w:type="dxa" w:w="7257"/>
            <w:shd w:val="clear" w:color="auto" w:fill="DCE3EF"/>
          </w:tcPr>
          <w:p>
            <w:r/>
            <w:r>
              <w:rPr>
                <w:b/>
                <w:sz w:val="19"/>
              </w:rPr>
              <w:t>Ustalenie</w:t>
            </w:r>
          </w:p>
        </w:tc>
      </w:tr>
      <w:tr>
        <w:tc>
          <w:tcPr>
            <w:tcW w:type="dxa" w:w="2268"/>
          </w:tcPr>
          <w:p>
            <w:r>
              <w:rPr>
                <w:sz w:val="19"/>
              </w:rPr>
            </w:r>
            <w:r>
              <w:rPr>
                <w:sz w:val="19"/>
              </w:rPr>
              <w:t>Projekt</w:t>
            </w:r>
          </w:p>
        </w:tc>
        <w:tc>
          <w:tcPr>
            <w:tcW w:type="dxa" w:w="7257"/>
          </w:tcPr>
          <w:p>
            <w:r>
              <w:rPr>
                <w:sz w:val="19"/>
              </w:rPr>
            </w:r>
            <w:r>
              <w:rPr>
                <w:sz w:val="19"/>
              </w:rPr>
              <w:t>Przekrojowy, wielofirmowy; respondenci zagnieżdżeni w firmach.</w:t>
            </w:r>
          </w:p>
        </w:tc>
      </w:tr>
      <w:tr>
        <w:tc>
          <w:tcPr>
            <w:tcW w:type="dxa" w:w="2268"/>
          </w:tcPr>
          <w:p>
            <w:r>
              <w:rPr>
                <w:sz w:val="19"/>
              </w:rPr>
            </w:r>
            <w:r>
              <w:rPr>
                <w:sz w:val="19"/>
              </w:rPr>
              <w:t>Firmy</w:t>
            </w:r>
          </w:p>
        </w:tc>
        <w:tc>
          <w:tcPr>
            <w:tcW w:type="dxa" w:w="7257"/>
          </w:tcPr>
          <w:p>
            <w:r>
              <w:rPr>
                <w:sz w:val="19"/>
              </w:rPr>
            </w:r>
            <w:r>
              <w:rPr>
                <w:sz w:val="19"/>
              </w:rPr>
              <w:t>Polskie podmioty z co najmniej 50 FTE; poza administracją publiczną i finansami. Poniżej 50 FTE hierarchia jest płytka, a mechanizm utraty informacji w hierarchii działa słabo, więc silnik prawdopodobnie przeszacowuje.</w:t>
            </w:r>
          </w:p>
        </w:tc>
      </w:tr>
      <w:tr>
        <w:tc>
          <w:tcPr>
            <w:tcW w:type="dxa" w:w="2268"/>
          </w:tcPr>
          <w:p>
            <w:r>
              <w:rPr>
                <w:sz w:val="19"/>
              </w:rPr>
            </w:r>
            <w:r>
              <w:rPr>
                <w:sz w:val="19"/>
              </w:rPr>
              <w:t>Respondenci</w:t>
            </w:r>
          </w:p>
        </w:tc>
        <w:tc>
          <w:tcPr>
            <w:tcW w:type="dxa" w:w="7257"/>
          </w:tcPr>
          <w:p>
            <w:r>
              <w:rPr>
                <w:sz w:val="19"/>
              </w:rPr>
            </w:r>
            <w:r>
              <w:rPr>
                <w:sz w:val="19"/>
              </w:rPr>
              <w:t>Co najmniej 15 ważnych odpowiedzi na firmę (stabilna średnia firmowa), docelowo 20. Losowa próba warstwowana szczeblem (pracownik, lider zespołu, kierownik średniego szczebla).</w:t>
            </w:r>
          </w:p>
        </w:tc>
      </w:tr>
      <w:tr>
        <w:tc>
          <w:tcPr>
            <w:tcW w:type="dxa" w:w="2268"/>
          </w:tcPr>
          <w:p>
            <w:r>
              <w:rPr>
                <w:sz w:val="19"/>
              </w:rPr>
            </w:r>
            <w:r>
              <w:rPr>
                <w:sz w:val="19"/>
              </w:rPr>
              <w:t>Liczba firm</w:t>
            </w:r>
          </w:p>
        </w:tc>
        <w:tc>
          <w:tcPr>
            <w:tcW w:type="dxa" w:w="7257"/>
          </w:tcPr>
          <w:p>
            <w:r>
              <w:rPr>
                <w:sz w:val="19"/>
              </w:rPr>
            </w:r>
            <w:r>
              <w:rPr>
                <w:sz w:val="19"/>
              </w:rPr>
              <w:t>Cel fazy A: 15 firm (około 225–300 osób). Na tej próbie hipoteza o poziomie firmy jest wyłącznie opisowa: moc testu to około 19% przy umiarkowanym związku, więc 15 firm nie może modelu ani potwierdzić, ani obalić. Wniosek potwierdzający wymaga około 61 firm przy silnym związku albo około 85 przy umiarkowanym. Dwie firmy pozwalają sprawdzić wykonalność i związki między zespołami wewnątrz firmy.</w:t>
            </w:r>
          </w:p>
        </w:tc>
      </w:tr>
      <w:tr>
        <w:tc>
          <w:tcPr>
            <w:tcW w:type="dxa" w:w="2268"/>
          </w:tcPr>
          <w:p>
            <w:r>
              <w:rPr>
                <w:sz w:val="19"/>
              </w:rPr>
            </w:r>
            <w:r>
              <w:rPr>
                <w:sz w:val="19"/>
              </w:rPr>
              <w:t>Dane z rejestrów</w:t>
            </w:r>
          </w:p>
        </w:tc>
        <w:tc>
          <w:tcPr>
            <w:tcW w:type="dxa" w:w="7257"/>
          </w:tcPr>
          <w:p>
            <w:r>
              <w:rPr>
                <w:sz w:val="19"/>
              </w:rPr>
            </w:r>
            <w:r>
              <w:rPr>
                <w:sz w:val="19"/>
              </w:rPr>
              <w:t>12 miesięcy: odejścia dobrowolne, absencja, incydenty i reklamacje, zgłoszone pomysły, struktura organizacyjna (Załącznik 3).</w:t>
            </w:r>
          </w:p>
        </w:tc>
      </w:tr>
      <w:tr>
        <w:tc>
          <w:tcPr>
            <w:tcW w:type="dxa" w:w="2268"/>
          </w:tcPr>
          <w:p>
            <w:r>
              <w:rPr>
                <w:sz w:val="19"/>
              </w:rPr>
            </w:r>
            <w:r>
              <w:rPr>
                <w:sz w:val="19"/>
              </w:rPr>
              <w:t>Moc</w:t>
            </w:r>
          </w:p>
        </w:tc>
        <w:tc>
          <w:tcPr>
            <w:tcW w:type="dxa" w:w="7257"/>
          </w:tcPr>
          <w:p>
            <w:r>
              <w:rPr>
                <w:sz w:val="19"/>
              </w:rPr>
            </w:r>
            <w:r>
              <w:rPr>
                <w:sz w:val="19"/>
              </w:rPr>
              <w:t>80% przy α = 0,05; wielopoziomowo przy ICC około 0,15 i 20 respondentach na firmę.</w:t>
            </w:r>
          </w:p>
        </w:tc>
      </w:tr>
      <w:tr>
        <w:tc>
          <w:tcPr>
            <w:tcW w:type="dxa" w:w="2268"/>
          </w:tcPr>
          <w:p>
            <w:r>
              <w:rPr>
                <w:sz w:val="19"/>
              </w:rPr>
            </w:r>
            <w:r>
              <w:rPr>
                <w:sz w:val="19"/>
              </w:rPr>
              <w:t>Harmonogram w protokole</w:t>
            </w:r>
          </w:p>
        </w:tc>
        <w:tc>
          <w:tcPr>
            <w:tcW w:type="dxa" w:w="7257"/>
          </w:tcPr>
          <w:p>
            <w:r>
              <w:rPr>
                <w:sz w:val="19"/>
              </w:rPr>
            </w:r>
            <w:r>
              <w:rPr>
                <w:sz w:val="19"/>
              </w:rPr>
              <w:t>Rejestracja wstępna planowana na III kwartał 2026; zbieranie IV kwartał 2026 – III kwartał 2027; analiza IV kwartał 2027. Reguła zatrzymania: 15 firm albo 12 miesięcy.</w:t>
            </w:r>
          </w:p>
        </w:tc>
      </w:tr>
      <w:tr>
        <w:tc>
          <w:tcPr>
            <w:tcW w:type="dxa" w:w="2268"/>
          </w:tcPr>
          <w:p>
            <w:r>
              <w:rPr>
                <w:sz w:val="19"/>
              </w:rPr>
            </w:r>
            <w:r>
              <w:rPr>
                <w:sz w:val="19"/>
              </w:rPr>
              <w:t>Stan na 3 października 2026</w:t>
            </w:r>
          </w:p>
        </w:tc>
        <w:tc>
          <w:tcPr>
            <w:tcW w:type="dxa" w:w="7257"/>
          </w:tcPr>
          <w:p>
            <w:r>
              <w:rPr>
                <w:sz w:val="19"/>
              </w:rPr>
            </w:r>
            <w:r>
              <w:rPr>
                <w:sz w:val="19"/>
              </w:rPr>
              <w:t xml:space="preserve">Rejestracja wstępna jeszcze niezłożona; do zrobienia przed zbieraniem danych, więc harmonogram z protokołu wymaga aktualizacji. Wstępnie dwie firmy zainteresowane. Pilotaż: jedna firma z kontaktów Emilki i jedna z kontaktów autora </w:t>
            </w:r>
            <w:r>
              <w:rPr>
                <w:sz w:val="19"/>
                <w:highlight w:val="yellow"/>
              </w:rPr>
              <w:t>[do potwierdzenia; termin do ustalenia]</w:t>
            </w:r>
            <w:r>
              <w:rPr>
                <w:sz w:val="19"/>
              </w:rPr>
              <w:t>.</w:t>
            </w:r>
          </w:p>
        </w:tc>
      </w:tr>
    </w:tbl>
    <w:p/>
    <w:p>
      <w:pPr>
        <w:pStyle w:val="Heading1"/>
      </w:pPr>
      <w:r>
        <w:t>4. Zmienne skutku</w:t>
      </w:r>
    </w:p>
    <w:p>
      <w:r>
        <w:t>Osiem zmiennych, każda powiązana z modułem modelu i mierzalna z rejestrów firmy albo ze zwalidowanej skali. To odpowiedź na pytanie 11 briefu.</w:t>
      </w:r>
    </w:p>
    <w:tbl>
      <w:tblPr>
        <w:tblStyle w:val="TableGrid"/>
        <w:tblW w:type="auto" w:w="0"/>
        <w:jc w:val="center"/>
        <w:tblLook w:firstColumn="1" w:firstRow="1" w:lastColumn="0" w:lastRow="0" w:noHBand="0" w:noVBand="1" w:val="04A0"/>
      </w:tblPr>
      <w:tblGrid>
        <w:gridCol w:w="3249"/>
        <w:gridCol w:w="3249"/>
        <w:gridCol w:w="3249"/>
      </w:tblGrid>
      <w:tr>
        <w:tc>
          <w:tcPr>
            <w:tcW w:type="dxa" w:w="4422"/>
            <w:shd w:val="clear" w:color="auto" w:fill="DCE3EF"/>
          </w:tcPr>
          <w:p>
            <w:r/>
            <w:r>
              <w:rPr>
                <w:b/>
                <w:sz w:val="19"/>
              </w:rPr>
              <w:t>Zmienna</w:t>
            </w:r>
          </w:p>
        </w:tc>
        <w:tc>
          <w:tcPr>
            <w:tcW w:type="dxa" w:w="2608"/>
            <w:shd w:val="clear" w:color="auto" w:fill="DCE3EF"/>
          </w:tcPr>
          <w:p>
            <w:r/>
            <w:r>
              <w:rPr>
                <w:b/>
                <w:sz w:val="19"/>
              </w:rPr>
              <w:t>Źródło</w:t>
            </w:r>
          </w:p>
        </w:tc>
        <w:tc>
          <w:tcPr>
            <w:tcW w:type="dxa" w:w="2494"/>
            <w:shd w:val="clear" w:color="auto" w:fill="DCE3EF"/>
          </w:tcPr>
          <w:p>
            <w:r/>
            <w:r>
              <w:rPr>
                <w:b/>
                <w:sz w:val="19"/>
              </w:rPr>
              <w:t>Czego dotyczy</w:t>
            </w:r>
          </w:p>
        </w:tc>
      </w:tr>
      <w:tr>
        <w:tc>
          <w:tcPr>
            <w:tcW w:type="dxa" w:w="4422"/>
          </w:tcPr>
          <w:p>
            <w:r>
              <w:rPr>
                <w:sz w:val="19"/>
              </w:rPr>
            </w:r>
            <w:r>
              <w:rPr>
                <w:sz w:val="19"/>
              </w:rPr>
              <w:t>1. Rotacja dobrowolna (na 100 FTE, 12 miesięcy)</w:t>
            </w:r>
          </w:p>
        </w:tc>
        <w:tc>
          <w:tcPr>
            <w:tcW w:type="dxa" w:w="2608"/>
          </w:tcPr>
          <w:p>
            <w:r>
              <w:rPr>
                <w:sz w:val="19"/>
              </w:rPr>
            </w:r>
            <w:r>
              <w:rPr>
                <w:sz w:val="19"/>
              </w:rPr>
              <w:t>rejestr kadrowy</w:t>
            </w:r>
          </w:p>
        </w:tc>
        <w:tc>
          <w:tcPr>
            <w:tcW w:type="dxa" w:w="2494"/>
          </w:tcPr>
          <w:p>
            <w:r>
              <w:rPr>
                <w:sz w:val="19"/>
              </w:rPr>
            </w:r>
            <w:r>
              <w:rPr>
                <w:sz w:val="19"/>
              </w:rPr>
              <w:t>rotacja i utrata wiedzy</w:t>
            </w:r>
          </w:p>
        </w:tc>
      </w:tr>
      <w:tr>
        <w:tc>
          <w:tcPr>
            <w:tcW w:type="dxa" w:w="4422"/>
          </w:tcPr>
          <w:p>
            <w:r>
              <w:rPr>
                <w:sz w:val="19"/>
              </w:rPr>
            </w:r>
            <w:r>
              <w:rPr>
                <w:sz w:val="19"/>
              </w:rPr>
              <w:t>2. Błędy i defekty (na 1000 godzin pracy)</w:t>
            </w:r>
          </w:p>
        </w:tc>
        <w:tc>
          <w:tcPr>
            <w:tcW w:type="dxa" w:w="2608"/>
          </w:tcPr>
          <w:p>
            <w:r>
              <w:rPr>
                <w:sz w:val="19"/>
              </w:rPr>
            </w:r>
            <w:r>
              <w:rPr>
                <w:sz w:val="19"/>
              </w:rPr>
              <w:t>rejestr niezgodności, dziennik incydentów</w:t>
            </w:r>
          </w:p>
        </w:tc>
        <w:tc>
          <w:tcPr>
            <w:tcW w:type="dxa" w:w="2494"/>
          </w:tcPr>
          <w:p>
            <w:r>
              <w:rPr>
                <w:sz w:val="19"/>
              </w:rPr>
            </w:r>
            <w:r>
              <w:rPr>
                <w:sz w:val="19"/>
              </w:rPr>
              <w:t>błędy i compliance</w:t>
            </w:r>
          </w:p>
        </w:tc>
      </w:tr>
      <w:tr>
        <w:tc>
          <w:tcPr>
            <w:tcW w:type="dxa" w:w="4422"/>
          </w:tcPr>
          <w:p>
            <w:r>
              <w:rPr>
                <w:sz w:val="19"/>
              </w:rPr>
            </w:r>
            <w:r>
              <w:rPr>
                <w:sz w:val="19"/>
              </w:rPr>
              <w:t>3. Zgłoszone pomysły (na pracownika rocznie)</w:t>
            </w:r>
          </w:p>
        </w:tc>
        <w:tc>
          <w:tcPr>
            <w:tcW w:type="dxa" w:w="2608"/>
          </w:tcPr>
          <w:p>
            <w:r>
              <w:rPr>
                <w:sz w:val="19"/>
              </w:rPr>
            </w:r>
            <w:r>
              <w:rPr>
                <w:sz w:val="19"/>
              </w:rPr>
              <w:t>system pomysłów, skrzynka</w:t>
            </w:r>
          </w:p>
        </w:tc>
        <w:tc>
          <w:tcPr>
            <w:tcW w:type="dxa" w:w="2494"/>
          </w:tcPr>
          <w:p>
            <w:r>
              <w:rPr>
                <w:sz w:val="19"/>
              </w:rPr>
            </w:r>
            <w:r>
              <w:rPr>
                <w:sz w:val="19"/>
              </w:rPr>
              <w:t>innowacje i uczenie się</w:t>
            </w:r>
          </w:p>
        </w:tc>
      </w:tr>
      <w:tr>
        <w:tc>
          <w:tcPr>
            <w:tcW w:type="dxa" w:w="4422"/>
          </w:tcPr>
          <w:p>
            <w:r>
              <w:rPr>
                <w:sz w:val="19"/>
              </w:rPr>
            </w:r>
            <w:r>
              <w:rPr>
                <w:sz w:val="19"/>
              </w:rPr>
              <w:t>4. Zaangażowanie (UWES-9)</w:t>
            </w:r>
          </w:p>
        </w:tc>
        <w:tc>
          <w:tcPr>
            <w:tcW w:type="dxa" w:w="2608"/>
          </w:tcPr>
          <w:p>
            <w:r>
              <w:rPr>
                <w:sz w:val="19"/>
              </w:rPr>
            </w:r>
            <w:r>
              <w:rPr>
                <w:sz w:val="19"/>
              </w:rPr>
              <w:t>ankieta</w:t>
            </w:r>
          </w:p>
        </w:tc>
        <w:tc>
          <w:tcPr>
            <w:tcW w:type="dxa" w:w="2494"/>
          </w:tcPr>
          <w:p>
            <w:r>
              <w:rPr>
                <w:sz w:val="19"/>
              </w:rPr>
            </w:r>
            <w:r>
              <w:rPr>
                <w:sz w:val="19"/>
              </w:rPr>
              <w:t>wypalenie i pasywność</w:t>
            </w:r>
          </w:p>
        </w:tc>
      </w:tr>
      <w:tr>
        <w:tc>
          <w:tcPr>
            <w:tcW w:type="dxa" w:w="4422"/>
          </w:tcPr>
          <w:p>
            <w:r>
              <w:rPr>
                <w:sz w:val="19"/>
              </w:rPr>
            </w:r>
            <w:r>
              <w:rPr>
                <w:sz w:val="19"/>
              </w:rPr>
              <w:t>5. Absencja nieplanowana (dni na pracownika)</w:t>
            </w:r>
          </w:p>
        </w:tc>
        <w:tc>
          <w:tcPr>
            <w:tcW w:type="dxa" w:w="2608"/>
          </w:tcPr>
          <w:p>
            <w:r>
              <w:rPr>
                <w:sz w:val="19"/>
              </w:rPr>
            </w:r>
            <w:r>
              <w:rPr>
                <w:sz w:val="19"/>
              </w:rPr>
              <w:t>rejestr kadrowy</w:t>
            </w:r>
          </w:p>
        </w:tc>
        <w:tc>
          <w:tcPr>
            <w:tcW w:type="dxa" w:w="2494"/>
          </w:tcPr>
          <w:p>
            <w:r>
              <w:rPr>
                <w:sz w:val="19"/>
              </w:rPr>
            </w:r>
            <w:r>
              <w:rPr>
                <w:sz w:val="19"/>
              </w:rPr>
              <w:t>wypalenie i pasywność</w:t>
            </w:r>
          </w:p>
        </w:tc>
      </w:tr>
      <w:tr>
        <w:tc>
          <w:tcPr>
            <w:tcW w:type="dxa" w:w="4422"/>
          </w:tcPr>
          <w:p>
            <w:r>
              <w:rPr>
                <w:sz w:val="19"/>
              </w:rPr>
            </w:r>
            <w:r>
              <w:rPr>
                <w:sz w:val="19"/>
              </w:rPr>
              <w:t>6. Dzielenie się wiedzą (podskala milczenia uległego, odwrócona)</w:t>
            </w:r>
          </w:p>
        </w:tc>
        <w:tc>
          <w:tcPr>
            <w:tcW w:type="dxa" w:w="2608"/>
          </w:tcPr>
          <w:p>
            <w:r>
              <w:rPr>
                <w:sz w:val="19"/>
              </w:rPr>
            </w:r>
            <w:r>
              <w:rPr>
                <w:sz w:val="19"/>
              </w:rPr>
              <w:t>ankieta</w:t>
            </w:r>
          </w:p>
        </w:tc>
        <w:tc>
          <w:tcPr>
            <w:tcW w:type="dxa" w:w="2494"/>
          </w:tcPr>
          <w:p>
            <w:r>
              <w:rPr>
                <w:sz w:val="19"/>
              </w:rPr>
            </w:r>
            <w:r>
              <w:rPr>
                <w:sz w:val="19"/>
              </w:rPr>
              <w:t>koordynacja, uczenie się</w:t>
            </w:r>
          </w:p>
        </w:tc>
      </w:tr>
      <w:tr>
        <w:tc>
          <w:tcPr>
            <w:tcW w:type="dxa" w:w="4422"/>
          </w:tcPr>
          <w:p>
            <w:r>
              <w:rPr>
                <w:sz w:val="19"/>
              </w:rPr>
            </w:r>
            <w:r>
              <w:rPr>
                <w:sz w:val="19"/>
              </w:rPr>
              <w:t>7. Narzut kierowniczy (stosunek kadry kierowniczej do FTE)</w:t>
            </w:r>
          </w:p>
        </w:tc>
        <w:tc>
          <w:tcPr>
            <w:tcW w:type="dxa" w:w="2608"/>
          </w:tcPr>
          <w:p>
            <w:r>
              <w:rPr>
                <w:sz w:val="19"/>
              </w:rPr>
            </w:r>
            <w:r>
              <w:rPr>
                <w:sz w:val="19"/>
              </w:rPr>
              <w:t>schemat organizacyjny</w:t>
            </w:r>
          </w:p>
        </w:tc>
        <w:tc>
          <w:tcPr>
            <w:tcW w:type="dxa" w:w="2494"/>
          </w:tcPr>
          <w:p>
            <w:r>
              <w:rPr>
                <w:sz w:val="19"/>
              </w:rPr>
            </w:r>
            <w:r>
              <w:rPr>
                <w:sz w:val="19"/>
              </w:rPr>
              <w:t>koordynacja i hierarchia</w:t>
            </w:r>
          </w:p>
        </w:tc>
      </w:tr>
      <w:tr>
        <w:tc>
          <w:tcPr>
            <w:tcW w:type="dxa" w:w="4422"/>
          </w:tcPr>
          <w:p>
            <w:r>
              <w:rPr>
                <w:sz w:val="19"/>
              </w:rPr>
            </w:r>
            <w:r>
              <w:rPr>
                <w:sz w:val="19"/>
              </w:rPr>
              <w:t>8. Poczucie bezpieczeństwa psychologicznego (0–100)</w:t>
            </w:r>
          </w:p>
        </w:tc>
        <w:tc>
          <w:tcPr>
            <w:tcW w:type="dxa" w:w="2608"/>
          </w:tcPr>
          <w:p>
            <w:r>
              <w:rPr>
                <w:sz w:val="19"/>
              </w:rPr>
            </w:r>
            <w:r>
              <w:rPr>
                <w:sz w:val="19"/>
              </w:rPr>
              <w:t>ankieta</w:t>
            </w:r>
          </w:p>
        </w:tc>
        <w:tc>
          <w:tcPr>
            <w:tcW w:type="dxa" w:w="2494"/>
          </w:tcPr>
          <w:p>
            <w:r>
              <w:rPr>
                <w:sz w:val="19"/>
              </w:rPr>
            </w:r>
            <w:r>
              <w:rPr>
                <w:sz w:val="19"/>
              </w:rPr>
              <w:t>główne wejście modelu</w:t>
            </w:r>
          </w:p>
        </w:tc>
      </w:tr>
    </w:tbl>
    <w:p/>
    <w:p>
      <w:pPr>
        <w:pStyle w:val="Heading1"/>
      </w:pPr>
      <w:r>
        <w:t>5. Instrumenty i długość ankiety</w:t>
      </w:r>
    </w:p>
    <w:p>
      <w:pPr>
        <w:pStyle w:val="ListBullet"/>
      </w:pPr>
      <w:r>
        <w:t>Skala bezpieczeństwa psychologicznego Edmondson (1999), 7 pozycji, skala 1–7.</w:t>
      </w:r>
    </w:p>
    <w:p>
      <w:pPr>
        <w:pStyle w:val="ListBullet"/>
      </w:pPr>
      <w:r>
        <w:t>Skala milczenia organizacyjnego Van Dyne i in. (2003), 15 pozycji, trzy podskale: obronne, uległe, prospołeczne.</w:t>
      </w:r>
    </w:p>
    <w:p>
      <w:pPr>
        <w:pStyle w:val="ListBullet"/>
      </w:pPr>
      <w:r>
        <w:t>UWES-9 (Schaufeli i in. 2006), polska walidacja Szabowska-Walaszczyk i in. (2011).</w:t>
      </w:r>
    </w:p>
    <w:p>
      <w:pPr>
        <w:pStyle w:val="ListBullet"/>
      </w:pPr>
      <w:r>
        <w:t>Licencje: skala UWES jest bezpłatna wyłącznie do celów akademickich, a inne zastosowania wymagają umowy z autorami. Dla skal Edmondson, Van Dyne i Teppera nie znaleziono jawnej licencji, co nie oznacza zgody na użycie w płatnej usłudze. To trzeba ustalić przed wyborem narzędzia (nie jest to porada prawna).</w:t>
      </w:r>
    </w:p>
    <w:p>
      <w:pPr>
        <w:pStyle w:val="ListBullet"/>
      </w:pPr>
      <w:r>
        <w:t>Krótki kwestionariusz kontekstu organizacyjnego. Łącznie około 35 pozycji i około 10 minut na osobę (to odpowiedź na pytanie 12; ostateczną długość ustala twórca narzędzia).</w:t>
      </w:r>
    </w:p>
    <w:p>
      <w:pPr>
        <w:pStyle w:val="ListBullet"/>
      </w:pPr>
      <w:r>
        <w:t>Rozbieżność w źródłach: starszy szablon zaproszenia dla firm wymienia zamiast UWES-9 skalę nadużyć przełożonych Teppera. Zestaw instrumentów trzeba ustalić raz, przed rejestracją wstępną.</w:t>
      </w:r>
    </w:p>
    <w:p>
      <w:r>
        <w:rPr>
          <w:b/>
        </w:rPr>
        <w:t>Uwaga do pytania 10 briefu.</w:t>
      </w:r>
      <w:r>
        <w:t xml:space="preserve"> Brief zakłada skalę z badania Ipsos i brak skal z literatury. Protokół w obecnej postaci używa skal z literatury. Trzeba rozstrzygnąć z psychometrą: (a) pytania Ipsos jako benchmark plus skale walidowane do badania, (b) tylko pytania Ipsos, wtedy protokół wymaga aktualizacji, (c) zbadać warunki użycia skal w zastosowaniu komercyjnym. Nie rozstrzygam tego w tym dokumencie.</w:t>
      </w:r>
    </w:p>
    <w:p>
      <w:pPr>
        <w:pStyle w:val="Heading1"/>
      </w:pPr>
      <w:r>
        <w:t>6. Kiedy uznamy, że model się nie sprawdził</w:t>
      </w:r>
    </w:p>
    <w:p>
      <w:r>
        <w:t xml:space="preserve">Rozróżniamy dwa rodzaje porażki. </w:t>
      </w:r>
      <w:r>
        <w:rPr>
          <w:b/>
        </w:rPr>
        <w:t>Porażka strukturalna:</w:t>
      </w:r>
      <w:r>
        <w:t xml:space="preserve"> model przewiduje kierunki zależności sprzeczne z danymi, to obala jego architekturę. </w:t>
      </w:r>
      <w:r>
        <w:rPr>
          <w:b/>
        </w:rPr>
        <w:t>Błąd skali:</w:t>
      </w:r>
      <w:r>
        <w:t xml:space="preserve"> kierunki i proporcje są dobre, ale poziom kwot jest systematycznie za wysoki lub za niski; to wymaga rekalibracji współczynników, nie odrzucenia teorii.</w:t>
      </w:r>
    </w:p>
    <w:p>
      <w:r>
        <w:rPr>
          <w:b/>
        </w:rPr>
        <w:t>Kryterium obalenia:</w:t>
      </w:r>
      <w:r>
        <w:t xml:space="preserve"> przy co najmniej 61 firmach z kompletnym wskaźnikiem skutków korelacja Pearsona między przewidywanym kosztem (w % przychodu) a wskaźnikiem obserwowanym wynosi r poniżej 0,15 i p powyżej 0,10. Wynik taki zamyka obecny zestaw parametrów i uruchamia rewizję teorii, moduł po module.</w:t>
      </w:r>
    </w:p>
    <w:p>
      <w:r>
        <w:rPr>
          <w:b/>
        </w:rPr>
        <w:t>Zastrzeżenie.</w:t>
      </w:r>
      <w:r>
        <w:t xml:space="preserve"> Uzasadnienie tego progu w protokole jest błędne statystycznie: przy 61 firmach wartość krytyczna korelacji to około 0,25 (poziom istotności 0,05) albo 0,21 (poziom 0,10), a moc testu jest niska, więc wynik nieistotny nie dowodzi braku związku. Poprawna reguła obalenia: górna granica przedziału ufności korelacji leży poniżej z góry ustalonego minimum użytecznego związku. Kryterium trzeba przeliczyć z psychometrą lub statystykiem przed rejestracją.</w:t>
      </w:r>
    </w:p>
    <w:p>
      <w:pPr>
        <w:pStyle w:val="Heading1"/>
      </w:pPr>
      <w:r>
        <w:t>7. Pomiar przed i po</w:t>
      </w:r>
    </w:p>
    <w:p>
      <w:r>
        <w:t xml:space="preserve">Faza C opisuje logikę: wyniki pierwotne wskazane przed wdrożeniem, porównanie w czasie, grupa odniesienia jeśli to możliwe, uczciwy język („zmiana zbiegła się z”, nie „program spowodował”). Zaproszenie dla firm przewiduje opcjonalny re-pomiar po 6 miesiącach. </w:t>
      </w:r>
      <w:r>
        <w:rPr>
          <w:b/>
        </w:rPr>
        <w:t>Nie ma tego w narzędziu.</w:t>
      </w:r>
      <w:r>
        <w:t xml:space="preserve"> Główny protokół (wersja v1) jest przekrojowy, więc metoda przed/po wymaga osobnego opisu z psychometrą (pytanie 24).</w:t>
      </w:r>
    </w:p>
    <w:p>
      <w:pPr>
        <w:pStyle w:val="Heading1"/>
      </w:pPr>
      <w:r>
        <w:t>8. Co dostaje firma, czego potrzeba od Fundacji</w:t>
      </w:r>
    </w:p>
    <w:p>
      <w:pPr>
        <w:pStyle w:val="ListBullet"/>
      </w:pPr>
      <w:r>
        <w:t>Firma dostaje: do ustalenia. Starszy szablon zaproszenia obiecywał bezpłatny raport indywidualny, benchmark i „rekomendacje interwencji z rozwiązania LP”. Protokół v2 zakazuje obiecywania raportu z trzynastu modułów i prognozy oszczędności, a w ścieżce Fundacji interwencje wynikają z diagnozy.</w:t>
      </w:r>
    </w:p>
    <w:p>
      <w:pPr>
        <w:pStyle w:val="ListBullet"/>
      </w:pPr>
      <w:r>
        <w:t>Firma dostarcza: ankietę wśród pracowników i dane z rejestrów (Załącznik 3), po zgodzie (Załącznik 4).</w:t>
      </w:r>
    </w:p>
    <w:p>
      <w:pPr>
        <w:pStyle w:val="ListBullet"/>
      </w:pPr>
      <w:r>
        <w:t>Narzędzie: od 3 października 2026 r. działa skrypt wsadowy, który dla pliku z wynikami ankiet wielu firm liczy scenariusz obecnym modelem i zestawia dwa pomiary tej samej firmy jako różnicę scenariuszy (nie dowód efektu). Wymaga rotacji każdej firmy i etykiet pomiarów w formacie daty.</w:t>
      </w:r>
    </w:p>
    <w:p>
      <w:pPr>
        <w:pStyle w:val="ListBullet"/>
      </w:pPr>
      <w:r>
        <w:t>Od Fundacji: dostęp do firm, wskazanie firmy pilotażowej (pytanie 41), udział psychometry (pytania 8, 11, 12, 21), decyzja, czy faza A jest wspólnym pilotażem (pytanie 26).</w:t>
      </w:r>
    </w:p>
    <w:p>
      <w:pPr>
        <w:pStyle w:val="Heading2"/>
      </w:pPr>
      <w:r>
        <w:t>Czym ta wersja różni się od źródłowej</w:t>
      </w:r>
    </w:p>
    <w:p>
      <w:pPr>
        <w:pStyle w:val="ListBullet"/>
      </w:pPr>
      <w:r>
        <w:t>Źródło: „Protokół walidacji modelu v2” oraz pre-rejestrowany protokół zewnętrznej walidacji (v1, po angielsku) z repozytorium silence-tax.com.</w:t>
      </w:r>
    </w:p>
    <w:p>
      <w:pPr>
        <w:pStyle w:val="ListBullet"/>
      </w:pPr>
      <w:r>
        <w:t>Przetłumaczone i skrócone. Pominięto szczegóły statystyczne (kowariaty, korekty, kod analizy w R); dostępne w pełnym protokole.</w:t>
      </w:r>
    </w:p>
    <w:p>
      <w:pPr>
        <w:pStyle w:val="ListBullet"/>
      </w:pPr>
      <w:r>
        <w:t>Dodano uwagę o rozbieżności skal (pytanie 10) i o braku metody przed/po w narzędziu.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