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Georgia" w:hAnsi="Georgia" w:cs="Georgia"/>
          <w:sz w:val="53"/>
          <w:sz-cs w:val="53"/>
          <w:b/>
          <w:spacing w:val="0"/>
        </w:rPr>
        <w:t xml:space="preserve">Tunel ma ściany. Pole ma horyzont.</w:t>
      </w:r>
    </w:p>
    <w:p>
      <w:pPr>
        <w:spacing w:after="346"/>
      </w:pPr>
      <w:r>
        <w:rPr>
          <w:rFonts w:ascii="Georgia" w:hAnsi="Georgia" w:cs="Georgia"/>
          <w:sz w:val="34"/>
          <w:sz-cs w:val="34"/>
          <w:b/>
          <w:spacing w:val="0"/>
        </w:rPr>
        <w:t xml:space="preserve">Dlaczego wierne trzymanie się procedury bywa najdroższą decyzją zakupową w firmie</w:t>
      </w:r>
    </w:p>
    <w:p>
      <w:pPr>
        <w:spacing w:after="266"/>
      </w:pPr>
      <w:r>
        <w:rPr>
          <w:rFonts w:ascii="Georgia" w:hAnsi="Georgia" w:cs="Georgia"/>
          <w:sz w:val="26"/>
          <w:sz-cs w:val="26"/>
          <w:spacing w:val="0"/>
          <w:color w:val="434343"/>
        </w:rPr>
        <w:t xml:space="preserve">Lepszy Biznes (All for One) · 2026-06 · ~1300 słów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Dwoje kupców, to samo zadanie: zakup floty 50 samochodów służbowych za 5 mln zł. Pierwszy realizuje pełną, ośmioetapową procedurę przetargową — analiza rynku, zapytania ofertowe, komisja oceniająca, negocjacje cenowe, opinia prawna, zgoda zarządu, podpis. Zajmuje to 180 dni. Drugi działa w granicach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tej samej polityki zakupowej</w:t>
      </w:r>
      <w:r>
        <w:rPr>
          <w:rFonts w:ascii="Georgia" w:hAnsi="Georgia" w:cs="Georgia"/>
          <w:sz w:val="32"/>
          <w:sz-cs w:val="32"/>
          <w:spacing w:val="0"/>
        </w:rPr>
        <w:t xml:space="preserve"> — konkurencyjna walidacja ceny, udokumentowany wybór dostawcy, zgoda zarządu powyżej progu — ale metodę dobiera do sytuacji: skrócony dialog z prekwalifikowanymi dostawcami, analiza should-cost, negocjacje z liderem rankingu. Zajmuje mu to 45 dni. Po audycie obaj są tak samo zgodni. Tylko jeden naprawdę zadbał o interes firmy.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Ta różnica — w czasie, cenie i utraconych szansach — w większości organizacji pozostaje niepoliczona. A składa się na nią pomylenie dwóch pojęć, które w praktyce zakupowej traktuje się jak jedno.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Polityka to nie procedura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Polityka zakupowa mówi,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co</w:t>
      </w:r>
      <w:r>
        <w:rPr>
          <w:rFonts w:ascii="Georgia" w:hAnsi="Georgia" w:cs="Georgia"/>
          <w:sz w:val="32"/>
          <w:sz-cs w:val="32"/>
          <w:spacing w:val="0"/>
        </w:rPr>
        <w:t xml:space="preserve"> trzeba osiągnąć: progi akceptacji, wymóg konkurencyjności, standardy dokumentacji, zasady etyczne. Procedura to tylko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jedna</w:t>
      </w:r>
      <w:r>
        <w:rPr>
          <w:rFonts w:ascii="Georgia" w:hAnsi="Georgia" w:cs="Georgia"/>
          <w:sz w:val="32"/>
          <w:sz-cs w:val="32"/>
          <w:spacing w:val="0"/>
        </w:rPr>
        <w:t xml:space="preserve"> z dróg prowadzących do tych celów. Relacja między nimi jest hierarchiczna: polityka wyznacza ograniczenia i cele, procedura opisuje pojedynczą ścieżkę przez te ograniczenia.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Kluczowy wniosek jest taki, że dla każdej polityki istnieje cała rodzina poprawnych procedur — wiele wystarczających metod, o skrajnie różnych kosztach, czasie i efektach. Rutynowy, prosty zakup wymaga innej ścieżki niż strategiczna, wielomilionowa akwizycja oparta na relacji z dostawcą. Problem zaczyna się wtedy, gdy organizacja traktuje jedną wybraną procedurę tak, jakby była tożsama z polityką — i w ten sposób likwiduje całą przestrzeń optymalizacji, którą daje swoboda wyboru metody.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Dlaczego wygrywa najsztywniejsza ścieżka?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Skoro elastyczność jest tańsza, dlaczego kupcy kurczowo trzymają się najbardziej sformalizowanej drogi? Odpowiada za to asymetria odpowiedzialności. Odejście od procedury jest widoczne i audytowalne — natychmiast pada pytanie „dlaczego?". Zapłacenie 15% powyżej rynku „zgodnie z procedurą" nie wywoła żadnego pytania, o ile dokumentacja się zgadza. W tej logice trzymanie się procedury staje się dominującą strategią niezależnie od skutków dla wartości.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Procedura pełni wtedy funkcję tarczy: „zrobiłem zgodnie z instrukcją, więc jestem bezpieczny". Tak rodzi się teatr zgodności — rytuał, w którym samo przejście przez kolejne etapy obiegu wypiera myślenie o najlepszym wyniku dla organizacji. Sztywność bywa też racjonalną reakcją na ryzyko polityczne: im bardziej procedura jest formalna, tym mniejsza powierzchnia do zarzutu o faworyzowanie. Działa tu również zwykła siła przyzwyczajenia organizacyjnego — „wszyscy w branży robią to w ten sposób" bywa argumentem mocniejszym niż jakikolwiek rachunek kosztów, nawet gdy „ten sposób" wcale nie daje najlepszych wyników. Tyle że ten spokój kosztuje — i da się go wycenić.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Ile naprawdę kosztuje sztywność?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Dane z ekonomii zamówień są tu pouczające — choć trzeba je czytać we właściwym kierunku. Badania nad rynkiem publicznym (Szucs, 2024) pokazują, że to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uznaniowość</w:t>
      </w:r>
      <w:r>
        <w:rPr>
          <w:rFonts w:ascii="Georgia" w:hAnsi="Georgia" w:cs="Georgia"/>
          <w:sz w:val="32"/>
          <w:sz-cs w:val="32"/>
          <w:spacing w:val="0"/>
        </w:rPr>
        <w:t xml:space="preserve"> w wyborze dostawcy podnosi ceny (efekt strukturalny rzędu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6 procent</w:t>
      </w:r>
      <w:r>
        <w:rPr>
          <w:rFonts w:ascii="Georgia" w:hAnsi="Georgia" w:cs="Georgia"/>
          <w:sz w:val="32"/>
          <w:sz-cs w:val="32"/>
          <w:spacing w:val="0"/>
        </w:rPr>
        <w:t xml:space="preserve">; forma zredukowana ~9%) i prowadzi do wyboru wykonawców o około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10% niższej produktywności</w:t>
      </w:r>
      <w:r>
        <w:rPr>
          <w:rFonts w:ascii="Georgia" w:hAnsi="Georgia" w:cs="Georgia"/>
          <w:sz w:val="32"/>
          <w:sz-cs w:val="32"/>
          <w:spacing w:val="0"/>
        </w:rPr>
        <w:t xml:space="preserve"> — a więc konkurencyjny, sformalizowany przetarg ma realną wartość zarządczą: oddala premię za faworyzowanie. Z kolei sztywność zapisów umownych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wiąże się</w:t>
      </w:r>
      <w:r>
        <w:rPr>
          <w:rFonts w:ascii="Georgia" w:hAnsi="Georgia" w:cs="Georgia"/>
          <w:sz w:val="32"/>
          <w:sz-cs w:val="32"/>
          <w:spacing w:val="0"/>
        </w:rPr>
        <w:t xml:space="preserve"> z wyższym o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7,7–10,5 punktu procentowego</w:t>
      </w:r>
      <w:r>
        <w:rPr>
          <w:rFonts w:ascii="Georgia" w:hAnsi="Georgia" w:cs="Georgia"/>
          <w:sz w:val="32"/>
          <w:sz-cs w:val="32"/>
          <w:spacing w:val="0"/>
        </w:rPr>
        <w:t xml:space="preserve"> prawdopodobieństwem późniejszej renegocjacji, ponad bazowy poziom 22% (zależność obserwacyjna, nie przyczynowa). W drugą stronę: podejście oparte na całkowitym koszcie posiadania (TCO), zamiast na „zgodności przede wszystkim", potrafi wg heurystyk branżowych przynieść do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30%</w:t>
      </w:r>
      <w:r>
        <w:rPr>
          <w:rFonts w:ascii="Georgia" w:hAnsi="Georgia" w:cs="Georgia"/>
          <w:sz w:val="32"/>
          <w:sz-cs w:val="32"/>
          <w:spacing w:val="0"/>
        </w:rPr>
        <w:t xml:space="preserve"> oszczędności — to jednak nieprzypisany, praktyczny pułap rozłożony na kilka lat, a nie zweryfikowany naukowo wynik ani gwarantowana stopa roczna.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Po zsumowaniu tych efektów koszt sztywnej procedury bywa o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100–400% wyższy</w:t>
      </w:r>
      <w:r>
        <w:rPr>
          <w:rFonts w:ascii="Georgia" w:hAnsi="Georgia" w:cs="Georgia"/>
          <w:sz w:val="32"/>
          <w:sz-cs w:val="32"/>
          <w:spacing w:val="0"/>
        </w:rPr>
        <w:t xml:space="preserve"> niż koszt podejścia opartego na polityce. Co istotne, największą część tej luki tworzy nie sama cena zakupu, lecz utracona optymalizacja, koszt opóźnionego wdrożenia oraz — najczęściej niewidoczny w żadnym zestawieniu —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koszt obejścia</w:t>
      </w:r>
      <w:r>
        <w:rPr>
          <w:rFonts w:ascii="Georgia" w:hAnsi="Georgia" w:cs="Georgia"/>
          <w:sz w:val="32"/>
          <w:sz-cs w:val="32"/>
          <w:spacing w:val="0"/>
        </w:rPr>
        <w:t xml:space="preserve">. Powstaje on wtedy, gdy doświadczony praktyk pod presją czasu wychodzi z procedury i załatwia sprawę mailem, telefonem i w Excelu, poza systemem i poza kontrolą.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Ten ostatni koszt jest szczególnie zdradliwy, bo nie znika z bilansu — przesuwa się jedynie do kategorii ryzyka. Niespójna dokumentacja, słabsza pozycja w razie sporu z dostawcą, ekspozycja audytowa idąca w setki tysięcy złotych przy pojedynczym kontrakcie. Im sztywniejsza procedura, tym częściej praktycy z niej wychodzą — i tym większy, choć niewidoczny w żadnym raporcie, staje się ten ukryty rachunek. Paradoks polega na tym, że narzędzie pomyślane jako gwarancja bezpieczeństwa generuje realne, choć nieujawnione ryzyko.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Sześć tygodni zamiast sześciu miesięcy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Że to nie teoria, dobrze pokazuje przypadek operatora Swiss Casinos. Firma potrzebowała wdrożyć system ERP — projekt, którego sourcing i kontraktacja w klasycznym, formalnym trybie RFP zajmują zwykle około sześciu miesięcy. Zespół zastosował podejście Lean Agile Procurement: intensywne warsztaty z prekwalifikowanymi dostawcami, szybką ocenę prototypów i negocjacje bezpośrednie. Cały proces — od business case'u po podpisany kontrakt i dostarczony proof-of-concept — zamknął się w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sześciu tygodniach</w:t>
      </w:r>
      <w:r>
        <w:rPr>
          <w:rFonts w:ascii="Georgia" w:hAnsi="Georgia" w:cs="Georgia"/>
          <w:sz w:val="32"/>
          <w:sz-cs w:val="32"/>
          <w:spacing w:val="0"/>
        </w:rPr>
        <w:t xml:space="preserve"> — około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75% krócej</w:t>
      </w:r>
      <w:r>
        <w:rPr>
          <w:rFonts w:ascii="Georgia" w:hAnsi="Georgia" w:cs="Georgia"/>
          <w:sz w:val="32"/>
          <w:sz-cs w:val="32"/>
          <w:spacing w:val="0"/>
        </w:rPr>
        <w:t xml:space="preserve">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Najważniejsze jest jednak to, czego w tej historii nie ma. Nie ma złamania polityki: zachowano ocenę konkurencyjną, ustrukturyzowany scoring ofert i zgodę zarządu. Zmieniła się wyłącznie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metoda</w:t>
      </w:r>
      <w:r>
        <w:rPr>
          <w:rFonts w:ascii="Georgia" w:hAnsi="Georgia" w:cs="Georgia"/>
          <w:sz w:val="32"/>
          <w:sz-cs w:val="32"/>
          <w:spacing w:val="0"/>
        </w:rPr>
        <w:t xml:space="preserve">. Skrócenie o ponad cztery miesiące przełożyło się wprost na wcześniejszy zwrot z wielomilionowej inwestycji. Ta sama logika tłumaczy decyzje, które na pierwszy rzut oka wyglądają na „pominięcie procedur" — jak negocjowanie dużych kontraktów flotowych w lotnictwie bezpośrednio z producentem zamiast w sztywnym przetargu. To nie brak dyscypliny, lecz wybór ścieżki adekwatnej do sytuacji rynkowej, której formalny tryb po prostu by nie udźwignął.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Tunel czy pole?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Najprościej ująć tę różnicę przestrzennie. Procedura jest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tunelem</w:t>
      </w:r>
      <w:r>
        <w:rPr>
          <w:rFonts w:ascii="Georgia" w:hAnsi="Georgia" w:cs="Georgia"/>
          <w:sz w:val="32"/>
          <w:sz-cs w:val="32"/>
          <w:spacing w:val="0"/>
        </w:rPr>
        <w:t xml:space="preserve">: jedna droga, jeden kierunek, człowiek w roli wykonawcy kolejnych kroków. Zgodność jest tu stanem chwilowym — jest się w tunelu albo poza nim. Gdy rzeczywistość odbiega od założeń wpisanych w projekt procedury (presja czasu, brak danych, nieprzewidywalny rynek), tunel zawodzi, a praktyk staje przed wyborem: na siłę wepchnąć rzeczywistość do tunelu wysokim kosztem albo z niego wyjść. To właśnie obejście.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Polityka jest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polem</w:t>
      </w:r>
      <w:r>
        <w:rPr>
          <w:rFonts w:ascii="Georgia" w:hAnsi="Georgia" w:cs="Georgia"/>
          <w:sz w:val="32"/>
          <w:sz-cs w:val="32"/>
          <w:spacing w:val="0"/>
        </w:rPr>
        <w:t xml:space="preserve">: przestrzenią ograniczoną granicami, którymi są uprawnienia, konkurencyjność, etyka i dokumentacja. Wewnątrz tych granic dozwolona jest każda ścieżka, a człowiek jest nawigatorem szukającym maksymalnej wartości. Różnica jest strukturalna: w tunelu zgodność sprawdza się w pojedynczych punktach kontrolnych, w polu — w sposób ciągły, na każdym kroku.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Po co uszczelniać tunel, którego nikt nie chce?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Naturalnym odruchem organizacji, która widzi, że ludzie omijają proces, jest „uszczelnić tunel, utrudnić wyjście". To reakcja, która zawodzi — i to przewidywalnie. Im sztywniejszy tunel, tym silniejsza pokusa, by z niego uciec, gdy realia się nie mieszczą. Kolejne bramki, podpisy i wymogi nie eliminują obejść; spychają je tylko głębiej, poza widoczność i poza audyt, gdzie ryzyko rośnie zamiast maleć.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Odwrotna zależność jest znacznie bardziej obiecująca. Im więcej dróg zgodnych z polityką, tym mniejszy bodziec do obejścia. W granicy, gdy każda sensowna ścieżka mieści się w polityce,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nie ma już czego obchodzić</w:t>
      </w:r>
      <w:r>
        <w:rPr>
          <w:rFonts w:ascii="Georgia" w:hAnsi="Georgia" w:cs="Georgia"/>
          <w:sz w:val="32"/>
          <w:sz-cs w:val="32"/>
          <w:spacing w:val="0"/>
        </w:rPr>
        <w:t xml:space="preserve"> — obejście traci sens, bo praktyk i tak porusza się wewnątrz dozwolonej przestrzeni.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Co to zmienia w świecie systemów zakupowych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Jeszcze niedawno sztywna procedura była jedynym dostępnym sposobem na wymuszenie zgodności — ktoś musiał pilnować, by każdy krok został wykonany we właściwej kolejności. Dziś tę funkcję przejęły systemy. Nowoczesne rozwiązania klasy ERP, SRM i e-procurement egzekwują politykę </w:t>
      </w:r>
      <w:r>
        <w:rPr>
          <w:rFonts w:ascii="Georgia" w:hAnsi="Georgia" w:cs="Georgia"/>
          <w:sz w:val="32"/>
          <w:sz-cs w:val="32"/>
          <w:b/>
          <w:spacing w:val="0"/>
        </w:rPr>
        <w:t xml:space="preserve">automatycznie, przy każdej transakcji</w:t>
      </w:r>
      <w:r>
        <w:rPr>
          <w:rFonts w:ascii="Georgia" w:hAnsi="Georgia" w:cs="Georgia"/>
          <w:sz w:val="32"/>
          <w:sz-cs w:val="32"/>
          <w:spacing w:val="0"/>
        </w:rPr>
        <w:t xml:space="preserve">: pilnują progów akceptacji, wymogu konkurencyjności i kompletności dokumentacji, niezależnie od tego, jaką ścieżkę wybierze kupiec. Egzekwowanie zgodności dzieje się w tle, w czasie rzeczywistym — a nie na pojedynczych bramkach obiegu.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To właśnie ta zmiana czyni model pola operacyjnie wykonalnym. Skoro granice polityki są pilnowane systemowo i nieprzerwanie, proceduralne bramkowanie staje się zbędnym, kosztownym dodatkiem. System bierze na siebie kontrolę, a kupiec odzyskuje to, do czego został zatrudniony: szukanie najlepszej wartości w ramach polityki, zamiast przeklikiwania kolejnych etapów. Zakupy przesuwają się z funkcji wykonawczej w stronę nawigacyjnej — i dopiero wtedy zaczynają zwracać włożony w nie kapitał.</w:t>
      </w:r>
    </w:p>
    <w:p>
      <w:pPr>
        <w:spacing w:after="309"/>
      </w:pPr>
      <w:r>
        <w:rPr>
          <w:rFonts w:ascii="Georgia" w:hAnsi="Georgia" w:cs="Georgia"/>
          <w:sz w:val="37"/>
          <w:sz-cs w:val="37"/>
          <w:b/>
          <w:spacing w:val="0"/>
        </w:rPr>
        <w:t xml:space="preserve">Pytanie dla zarządu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spacing w:val="0"/>
        </w:rPr>
        <w:t xml:space="preserve">Pytanie, które warto sobie zadać, nie brzmi więc „czy nasi ludzie przestrzegają procedury". Brzmi: „czy nasza polityka jest dość jasna, by w jej granicach można było swobodnie szukać najlepszej wartości — i czy nasze systemy potrafią tę politykę wyegzekwować". Tunel daje złudne poczucie kontroli. Pole daje wynik.</w:t>
      </w:r>
    </w:p>
    <w:p>
      <w:pPr>
        <w:spacing w:after="320"/>
      </w:pPr>
      <w:r>
        <w:rPr>
          <w:rFonts w:ascii="Georgia" w:hAnsi="Georgia" w:cs="Georgia"/>
          <w:sz w:val="32"/>
          <w:sz-cs w:val="32"/>
          <w:b/>
          <w:spacing w:val="0"/>
        </w:rPr>
        <w:t xml:space="preserve">Tunel ma ściany. Pole ma horyzont.</w:t>
      </w:r>
      <w:r>
        <w:rPr>
          <w:rFonts w:ascii="Georgia" w:hAnsi="Georgia" w:cs="Georgia"/>
          <w:sz w:val="32"/>
          <w:sz-cs w:val="32"/>
          <w:spacing w:val="0"/>
        </w:rPr>
        <w:t xml:space="preserve"/>
      </w:r>
    </w:p>
    <w:p>
      <w:pPr/>
      <w:r>
        <w:rPr>
          <w:rFonts w:ascii="Georgia" w:hAnsi="Georgia" w:cs="Georgia"/>
          <w:sz w:val="32"/>
          <w:sz-cs w:val="32"/>
          <w:spacing w:val="0"/>
          <w:color w:val="6D6D6D"/>
        </w:rPr>
        <w:t xml:space="preserve"/>
      </w:r>
    </w:p>
    <w:p>
      <w:pPr>
        <w:spacing w:after="266"/>
      </w:pPr>
      <w:r>
        <w:rPr>
          <w:rFonts w:ascii="Georgia" w:hAnsi="Georgia" w:cs="Georgia"/>
          <w:sz w:val="26"/>
          <w:sz-cs w:val="26"/>
          <w:b/>
          <w:spacing w:val="0"/>
          <w:color w:val="343434"/>
        </w:rPr>
        <w:t xml:space="preserve">Źródła:</w:t>
      </w:r>
      <w:r>
        <w:rPr>
          <w:rFonts w:ascii="Georgia" w:hAnsi="Georgia" w:cs="Georgia"/>
          <w:sz w:val="26"/>
          <w:sz-cs w:val="26"/>
          <w:spacing w:val="0"/>
          <w:color w:val="343434"/>
        </w:rPr>
        <w:t xml:space="preserve"> Szucs (</w:t>
      </w:r>
      <w:r>
        <w:rPr>
          <w:rFonts w:ascii="Georgia" w:hAnsi="Georgia" w:cs="Georgia"/>
          <w:sz w:val="26"/>
          <w:sz-cs w:val="26"/>
          <w:i/>
          <w:spacing w:val="0"/>
          <w:color w:val="343434"/>
        </w:rPr>
        <w:t xml:space="preserve">Journal of the European Economic Association</w:t>
      </w:r>
      <w:r>
        <w:rPr>
          <w:rFonts w:ascii="Georgia" w:hAnsi="Georgia" w:cs="Georgia"/>
          <w:sz w:val="26"/>
          <w:sz-cs w:val="26"/>
          <w:spacing w:val="0"/>
          <w:color w:val="343434"/>
        </w:rPr>
        <w:t xml:space="preserve">, 2024, 22(1):117–160) — uznaniowość podnosi ceny i obniża jakość wyboru dostawcy (konkurencyjny przetarg oddala premię za faworyzowanie); Beuve, Moszoro &amp; Spiller (NBER 28491; publ. </w:t>
      </w:r>
      <w:r>
        <w:rPr>
          <w:rFonts w:ascii="Georgia" w:hAnsi="Georgia" w:cs="Georgia"/>
          <w:sz w:val="26"/>
          <w:sz-cs w:val="26"/>
          <w:i/>
          <w:spacing w:val="0"/>
          <w:color w:val="343434"/>
        </w:rPr>
        <w:t xml:space="preserve">JLEO</w:t>
      </w:r>
      <w:r>
        <w:rPr>
          <w:rFonts w:ascii="Georgia" w:hAnsi="Georgia" w:cs="Georgia"/>
          <w:sz w:val="26"/>
          <w:sz-cs w:val="26"/>
          <w:spacing w:val="0"/>
          <w:color w:val="343434"/>
        </w:rPr>
        <w:t xml:space="preserve"> 2023) — sztywność a renegocjacje (zależność obserwacyjna); Bank Światowy (2021, Policy Research Paper 9690) — cenowe efekty reform zamówień; pułap oszczędności TCO (~30%) — nieprzypisana heurystyka praktyczna z literatury branżowej (brak recenzowanego źródła); przypadek Swiss Casinos ERP wg LAP Alliance / World Procurement Awards (2020). Liczby z modelu ProcuraCost to szacunki przy przyjętych założeniach, nie pomiary empiryczne. Swoboda wyboru metody jest w pełni dostępna dla zakupów prywatnych; w sektorze publicznym obowiązują progi i tryby PZP.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