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56A0"/>
          <w:sz w:val="44"/>
          <w:szCs w:val="44"/>
        </w:rPr>
        <w:t xml:space="preserve">AnchorEngine.kt — brief v2.0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LynxMask Mobile  |  czerwiec 2026  |  zastępuje brief v1.1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B800" w:sz="8"/>
              <w:left w:val="single" w:color="E6B800" w:sz="20"/>
              <w:bottom w:val="single" w:color="E6B800" w:sz="1"/>
              <w:right w:val="single" w:color="E6B80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 brief zastępuje v1.1 w całości. Poprzednia implementacja była błędna.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Przeczytaj do końca zanim napiszesz pierwszą linię kodu.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4"/>
        </w:pBdr>
        <w:spacing w:after="16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Co poszło źle w v1 — diagnoza z logcatu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Executor w v1 podłączył AnchorEngine jako trzeci silnik równoległy do StructuralEngine i NameEngine. To jest błąd architektoniczny. Efekty widoczne w logcacie: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widać w logcacie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Przyczyna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Skutek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+NUMER_013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StructuralEngine wziął cyfry, + zostawiony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niekompletny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NUMER_019 67B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 nie jest w zbiorze cyfropodobnych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ogon po masce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NUMER_030tałt z tolerancją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słowo PESEL w nagłówku wzięte jako NUMER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 positive na własnym tekście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EMAIL_004 .pl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maska zatrzymała się przed domeną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fragment email widoczny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Uwaga: sklejone EMAIL_001@EMAIL_002 to osobny bug w warstwie istniejącej — nie AnchorEngine. Nie naprawiaj go w tej implementacji.</w:t>
      </w:r>
    </w:p>
    <w:p>
      <w:pPr>
        <w:spacing w:after="0" w:before="160"/>
      </w:pPr>
    </w:p>
    <w:p>
      <w:pPr>
        <w:pBdr>
          <w:bottom w:val="single" w:color="DDDDDD" w:sz="4"/>
        </w:pBdr>
        <w:spacing w:after="16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Jedna zasada — przeczytaj trzy razy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A0" w:sz="8"/>
              <w:left w:val="single" w:color="1A56A0" w:sz="20"/>
              <w:bottom w:val="single" w:color="1A56A0" w:sz="1"/>
              <w:right w:val="single" w:color="1A56A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AnchorEngine NIE JEST silnikiem detekcji.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AnchorEngine jest zbieraczem resztek.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Dostaje tekst PO pierwszej rundzie maskowania.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 tym tekście tokeny już zamaskowane wyglądają tak: OSOBA_2EA0F6_001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AnchorEngine widzi tylko to co między tokenami — i tylko tam szuka.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Jeśli coś jest już zamaskowane — AnchorEngine tego nie dotyka.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Jeśli AnchorEngine nie znajdzie nic — to jest poprawny wynik, nie błąd.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4"/>
        </w:pBdr>
        <w:spacing w:after="16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Potok — dokładna kolejność</w:t>
      </w:r>
    </w:p>
    <w:p>
      <w:pPr>
        <w:spacing w:after="0" w:before="40"/>
      </w:pP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OcrNormalizer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↓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StructuralEngine        ← bez zmian, nie ruszać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NameEngine              ← bez zmian, nie ruszać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↓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PseudonymEngine         ← RUNDA 1  (identyczna jak dotychczas)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↓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tekst z tokenami OSOBA_xxx, NUMER_xxx, EMAIL_xxx ...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↓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UserDictionary          ← szuka w resztce, nie ruszać kolejności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AnchorEngine            ← szuka w resztce  [TO IMPLEMENTUJESZ]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↓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PseudonymEngine         ← RUNDA 2  (tylko kandydaci z dwóch powyższych)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↓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OutputGuard             ← bez zmian, nie ruszać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8"/>
              <w:left w:val="single" w:color="2E7D32" w:sz="20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Runda 2 PseudonymEngine jest trywialna: zero konfliktów, zero deduplikacji. UserDictionary i AnchorEngine operują na resztce — nie mogą sobie przeszkodzić bo nie ma już między nimi wspólnego materiału.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4"/>
        </w:pBdr>
        <w:spacing w:after="16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Wejście i wyjście AnchorEngine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Wejście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Tekst po rundzie 1 — z tokenami w środku. Przykład:</w:t>
      </w:r>
    </w:p>
    <w:p>
      <w:pPr>
        <w:spacing w:after="0" w:before="40"/>
      </w:pP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OSOBA_2EA0F6_001 zamieszkały ul. Lipowa 5, otrzymał kwotę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15 000,00 zł tytułem odszkodowania. Kontakt: piotr@firma.pl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 tym tekście OSOBA jest już zamaskowana. AnchorEngine widzi: ul. Lipowa 5 (ADRES), 15 000,00 zł (KWOTA), piotr@firma.pl (EMAIL). Zgłasza je jako kandydatów.</w:t>
      </w:r>
    </w:p>
    <w:p>
      <w:pPr>
        <w:spacing w:after="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Wyjście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Lista kandydatów — identyczny typ jak kandydaci StructuralEngine i NameEngine. Przed implementacją przeczytaj StructuralEngine.kt i skopiuj dokładnie ten sam typ zwracany.</w:t>
      </w:r>
    </w:p>
    <w:p>
      <w:pPr>
        <w:spacing w:after="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Wykluczenie tokenów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Przed każdym przeszukaniem wyklucz z zasięgu pozycje zajęte przez istniejące tokeny. Token ma stały format:</w:t>
      </w:r>
    </w:p>
    <w:p>
      <w:pPr>
        <w:spacing w:after="0" w:before="40"/>
      </w:pP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TYP_XXXXXX_NNN   (np. OSOBA_2EA0F6_001)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Znajdź wszystkie wystąpienia tego wzorca w tekście wejściowym i oznacz te zakresy jako niedostępne. Kotwica która trafia w zajęty zakres — ignoruj.</w:t>
      </w:r>
    </w:p>
    <w:p>
      <w:pPr>
        <w:spacing w:after="0" w:before="160"/>
      </w:pPr>
    </w:p>
    <w:p>
      <w:pPr>
        <w:pBdr>
          <w:bottom w:val="single" w:color="DDDDDD" w:sz="4"/>
        </w:pBdr>
        <w:spacing w:after="16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Zbiór cyfropodobnych — obowiązkowy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A0" w:sz="8"/>
              <w:left w:val="single" w:color="1A56A0" w:sz="20"/>
              <w:bottom w:val="single" w:color="1A56A0" w:sz="1"/>
              <w:right w:val="single" w:color="1A56A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cyfropodobne = [ 0 1 2 3 4 5 6 7 8 9 O o l I S B Z 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→ 0    (litera O jako zero)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→ 0    (mała o jako zero)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 → 1    (mała L jako jeden)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→ 1    (duże i jako jeden)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→ 5    (S jako pięć)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 → 8    (B jako osiem)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 → 2    (Z jako dwa)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0000" w:sz="8"/>
              <w:left w:val="single" w:color="CC0000" w:sz="20"/>
              <w:bottom w:val="single" w:color="CC0000" w:sz="1"/>
              <w:right w:val="single" w:color="CC000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Użyj tego zbioru wszędzie gdzie brief mówi 'cyfropodobny'. Nie zawężaj do [0-9]. Brak B w zbiorze to był błąd v1 — stąd 'NUMER_019 67B' w logcacie.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4"/>
        </w:pBdr>
        <w:spacing w:after="16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Reguły kotwic — implementuj dokładnie tak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6.1  EMAIL — kotwica @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Znajdź każde @ w tekście wejściowym które nie leży w zajętym zakresie tokenu.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Rozszerz maskę: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LEWO: cofaj się znak po znaku aż do spacji, nowej linii lub początku tekstu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PRAWO: idź do przodu aż do spacji, nowej linii lub końca tekstu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Cały ciąg lewo+@+prawo = jeden kandydat EMAIL.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Wejście (resztka po rundzie 1)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Kandydat AnchorEngine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piotr@firma.pl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EMAIL: piotr@firma.pl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p1otr@f1rma.p1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EMAIL: p1otr@f1rma.p1  ← tak, nawet zniekształcony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piotr @ firma.pl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EMAIL: piotr @ firma.pl  ← ze spacjami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8"/>
              <w:left w:val="single" w:color="2E7D32" w:sz="20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Nie waliduj formatu. Nie sprawdzaj czy domena ma kropkę. @ = email, koniec.</w:t>
            </w:r>
          </w:p>
        </w:tc>
      </w:tr>
    </w:tbl>
    <w:p>
      <w:pPr>
        <w:spacing w:after="0" w:before="12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6.2  TELEFON — kotwica +48 / 0048 / tel. / kom.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Kotwica twarda: </w:t>
      </w:r>
      <w:r>
        <w:rPr>
          <w:rFonts w:ascii="Arial" w:cs="Arial" w:eastAsia="Arial" w:hAnsi="Arial"/>
          <w:sz w:val="20"/>
          <w:szCs w:val="20"/>
        </w:rPr>
        <w:t xml:space="preserve">tokeny +48 lub 0048 (również +4B — B to cyfropodobne).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Maskuj w prawo: zbieraj cyfropodobne i separatory (spacja, kreska, nawias) aż do pierwszego znaku który nie jest ani cyfropodobny ani separatorem.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Wejście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Kandydat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+48 501 234 567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TELEFON: +48 501 234 567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+4B 5Ol 234 567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TELEFON: +4B 5Ol 234 567  ← B i l to cyfropodobne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+48 501 23 567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TELEFON: +48 501 23 567   ← mniej cyfr też ok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Kotwica kontekstowa: </w:t>
      </w:r>
      <w:r>
        <w:rPr>
          <w:rFonts w:ascii="Arial" w:cs="Arial" w:eastAsia="Arial" w:hAnsi="Arial"/>
          <w:sz w:val="20"/>
          <w:szCs w:val="20"/>
        </w:rPr>
        <w:t xml:space="preserve">token tel. / tel.: / kom. / fax bezpośrednio przed ciągiem cyfropodobnym.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Maskuj kotwicę + następny ciąg cyfropodobnych (z separatorami).</w:t>
      </w:r>
    </w:p>
    <w:p>
      <w:pPr>
        <w:spacing w:after="0" w:before="12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6.3  NUMER (PESEL / NIP / IBAN)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PESEL — kształt: </w:t>
      </w:r>
      <w:r>
        <w:rPr>
          <w:rFonts w:ascii="Arial" w:cs="Arial" w:eastAsia="Arial" w:hAnsi="Arial"/>
          <w:sz w:val="20"/>
          <w:szCs w:val="20"/>
        </w:rPr>
        <w:t xml:space="preserve">ciąg 9–13 cyfropodobnych bez przerwy (przerwa = spacja lub kreska dłuższa niż 1 znak).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Jeśli suma kontrolna PESEL pasuje → HIGH. Jeśli nie pasuje → MEDIUM. Maskuj oba.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NIP — kształt: </w:t>
      </w:r>
      <w:r>
        <w:rPr>
          <w:rFonts w:ascii="Arial" w:cs="Arial" w:eastAsia="Arial" w:hAnsi="Arial"/>
          <w:sz w:val="20"/>
          <w:szCs w:val="20"/>
        </w:rPr>
        <w:t xml:space="preserve">10 cyfropodobnych, opcjonalnie kreski co 3 (xxx-xxx-xx-xx). Suma kontrolna jako boost.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IBAN — kotwica PL: </w:t>
      </w:r>
      <w:r>
        <w:rPr>
          <w:rFonts w:ascii="Arial" w:cs="Arial" w:eastAsia="Arial" w:hAnsi="Arial"/>
          <w:sz w:val="20"/>
          <w:szCs w:val="20"/>
        </w:rPr>
        <w:t xml:space="preserve">token PL + ciąg 24–28 cyfropodobnych (ze spacjami co 4). Maskuj cały ciąg od PL do ostatniej cyfropodobnej.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8"/>
              <w:left w:val="single" w:color="2E7D32" w:sz="20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REGUŁA WYJĄTKOWA — jedyny wyjątek od wymogu kotwicy: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Ciąg 9–13 cyfropodobnych gdzie suma kontrolna PESEL dokładnie się zgadza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maskuj jako NUMER HIGH nawet bez żadnej kotwicy kontekstowej.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Suma kontrolna sama w sobie jest kotwicą.</w:t>
            </w:r>
          </w:p>
        </w:tc>
      </w:tr>
    </w:tbl>
    <w:p>
      <w:pPr>
        <w:spacing w:after="0" w:before="12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6.4  ADRES — kotwica ul. / al. / os. / pl. / dr. oraz kod pocztowy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Kotwica prefixowa: </w:t>
      </w:r>
      <w:r>
        <w:rPr>
          <w:rFonts w:ascii="Arial" w:cs="Arial" w:eastAsia="Arial" w:hAnsi="Arial"/>
          <w:sz w:val="20"/>
          <w:szCs w:val="20"/>
        </w:rPr>
        <w:t xml:space="preserve">ul. / al. / os. / pl. / dr. → maskuj kotwicę + następne 2–3 tokeny.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Kotwica standalone — kod pocztowy: </w:t>
      </w:r>
      <w:r>
        <w:rPr>
          <w:rFonts w:ascii="Arial" w:cs="Arial" w:eastAsia="Arial" w:hAnsi="Arial"/>
          <w:sz w:val="20"/>
          <w:szCs w:val="20"/>
        </w:rPr>
        <w:t xml:space="preserve">wzorzec XX-XXX gdzie X to cyfropodobny.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Maskuj cały kod + token bezpośrednio przed nim (miasto lub ulica).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Wejście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Kandydat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ul. Lipowa 5, 00-001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ADRES: ul. Lipowa 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OO-OO1 Warszawa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ADRES: OO-OO1 Warszawa  ← kod z O zamiast 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3l-61O Kraków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ADRES: 3l-61O Kraków</w:t>
            </w:r>
          </w:p>
        </w:tc>
      </w:tr>
    </w:tbl>
    <w:p>
      <w:pPr>
        <w:spacing w:after="0" w:before="12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6.5  ORGANIZACJA — kotwica suffixowa (kierunek: WSTECZ)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Jedyna encja gdzie maskujesz to co PRZED kotwicą.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Kotwice: </w:t>
      </w:r>
      <w:r>
        <w:rPr>
          <w:rFonts w:ascii="Arial" w:cs="Arial" w:eastAsia="Arial" w:hAnsi="Arial"/>
          <w:sz w:val="20"/>
          <w:szCs w:val="20"/>
        </w:rPr>
        <w:t xml:space="preserve">Sp. z o.o. / S.A. / sp.j. / s.c. / Sp.k. / S.K.A.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Cofnij się od kotwicy do początku zdania lub pierwszego tokenu z małej litery. Maskuj cały ciąg wstecz łącznie z kotwicą.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B800" w:sz="8"/>
              <w:left w:val="single" w:color="E6B800" w:sz="20"/>
              <w:bottom w:val="single" w:color="E6B800" w:sz="1"/>
              <w:right w:val="single" w:color="E6B80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Jeśli OCR zwrócił S,A, lub Sp,z o,o, zamiast S.A. / Sp. z o.o. — AnchorEngine odpuszcza. Ten przypadek obsługuje OutputGuard.</w:t>
            </w:r>
          </w:p>
        </w:tc>
      </w:tr>
    </w:tbl>
    <w:p>
      <w:pPr>
        <w:spacing w:after="0" w:before="12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6.6  DATA urodzenia — kotwica kontekstowa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Kotwice: </w:t>
      </w:r>
      <w:r>
        <w:rPr>
          <w:rFonts w:ascii="Arial" w:cs="Arial" w:eastAsia="Arial" w:hAnsi="Arial"/>
          <w:sz w:val="20"/>
          <w:szCs w:val="20"/>
        </w:rPr>
        <w:t xml:space="preserve">ur. / ur.: / dob: / urodzon / data urodzenia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Maskuj kotwicę + następny ciąg zawierający cyfropodobne i separatory (. - /). Nie waliduj formatu daty.</w:t>
      </w:r>
    </w:p>
    <w:p>
      <w:pPr>
        <w:spacing w:after="0" w:before="12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6.7  SYGNATURA — kotwica prefixowa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Kotwice słowne: </w:t>
      </w:r>
      <w:r>
        <w:rPr>
          <w:rFonts w:ascii="Arial" w:cs="Arial" w:eastAsia="Arial" w:hAnsi="Arial"/>
          <w:sz w:val="20"/>
          <w:szCs w:val="20"/>
        </w:rPr>
        <w:t xml:space="preserve">sygn. / sygn. akt / sygn.: / KRS / KW → maskuj do końca linii.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Kotwica /: </w:t>
      </w:r>
      <w:r>
        <w:rPr>
          <w:rFonts w:ascii="Arial" w:cs="Arial" w:eastAsia="Arial" w:hAnsi="Arial"/>
          <w:sz w:val="20"/>
          <w:szCs w:val="20"/>
        </w:rPr>
        <w:t xml:space="preserve">wzorzec cyfry/cyfry poprzedzone literą lub cyfrą rzymską, bez kontekstu adresowego (brak ul./al.) → SYGNATURA.</w:t>
      </w:r>
    </w:p>
    <w:p>
      <w:pPr>
        <w:spacing w:after="0" w:before="12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6.8  KWOTA — kotwica zł / PLN / EUR / kwota: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Suffix: </w:t>
      </w:r>
      <w:r>
        <w:rPr>
          <w:rFonts w:ascii="Arial" w:cs="Arial" w:eastAsia="Arial" w:hAnsi="Arial"/>
          <w:sz w:val="20"/>
          <w:szCs w:val="20"/>
        </w:rPr>
        <w:t xml:space="preserve">zł / PLN / EUR → maskuj token bezpośrednio przed + poprzedni jeśli to separator tysięczny.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Prefix: </w:t>
      </w:r>
      <w:r>
        <w:rPr>
          <w:rFonts w:ascii="Arial" w:cs="Arial" w:eastAsia="Arial" w:hAnsi="Arial"/>
          <w:sz w:val="20"/>
          <w:szCs w:val="20"/>
        </w:rPr>
        <w:t xml:space="preserve">kwota: / wartość: / suma: / wynagrodzenie: → maskuj następny token cyfropodobny.</w:t>
      </w:r>
    </w:p>
    <w:p>
      <w:pPr>
        <w:spacing w:after="0" w:before="12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6.9  OSOBA — kotwica tytułowa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Kotwice: </w:t>
      </w:r>
      <w:r>
        <w:rPr>
          <w:rFonts w:ascii="Arial" w:cs="Arial" w:eastAsia="Arial" w:hAnsi="Arial"/>
          <w:sz w:val="20"/>
          <w:szCs w:val="20"/>
        </w:rPr>
        <w:t xml:space="preserve">dr / mgr / inż. / adw. / mec. / lek. / prof.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Maskuj kotwicę + następne 1–2 tokeny zaczynające się wielką literą. Nie pytaj słownika.</w:t>
      </w:r>
    </w:p>
    <w:p>
      <w:pPr>
        <w:spacing w:after="0" w:before="160"/>
      </w:pPr>
    </w:p>
    <w:p>
      <w:pPr>
        <w:pBdr>
          <w:bottom w:val="single" w:color="DDDDDD" w:sz="4"/>
        </w:pBdr>
        <w:spacing w:after="16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Zakazy — żadnych wyjątków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0000" w:sz="8"/>
              <w:left w:val="single" w:color="CC0000" w:sz="20"/>
              <w:bottom w:val="single" w:color="CC0000" w:sz="1"/>
              <w:right w:val="single" w:color="CC000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ZAKAZ 1: Nie kopiuj żadnych regexów z StructuralEngine ani NameEngine.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ZAKAZ 2: Nie rejestruj AnchorEngine jako silnika równoległego do rundy 1.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AnchorEngine działa WYŁĄCZNIE na tekście po rundzie 1.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ZAKAZ 3: Nie waliduj sum kontrolnych jako warunku maskowania.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Suma = boost pewności, nie przepustka.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ZAKAZ 4: Nie modyfikuj StructuralEngine, NameEngine, OutputGuard, OcrNormalizer.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ZAKAZ 5: Nie zawężaj zbioru cyfropodobnych do [0-9].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Brak B,S,l,O,I,Z w zbiorze = błąd implementacji.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ZAKAZ 6: Nie merguj na main bez uruchomienia benchmarku.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4"/>
        </w:pBdr>
        <w:spacing w:after="16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Procedura wdrożenia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git checkout -b feature/anchor-engine-v2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Przeczytaj StructuralEngine.kt — skopiuj typ kandydata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Przeczytaj PseudonymEngine.kt — znajdź gdzie dodać rundę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Zaimplementuj AnchorEngine.kt — reguły z sekcji 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Uruchom BenchmarkInstrumentedTest na feature branchu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Porównaj recall z baseline — każdy typ osobno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Jeśli jakikolwiek typ spada — nie merguj, zbadaj przyczynę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B800" w:sz="8"/>
              <w:left w:val="single" w:color="E6B800" w:sz="20"/>
              <w:bottom w:val="single" w:color="E6B800" w:sz="1"/>
              <w:right w:val="single" w:color="E6B80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Baseline przed mergem: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EMAIL: 0%  (znany — AnchorEngine ma to poprawić)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PESEL: uzupełnij z bieżącego benchmarku przed implementacją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OSOBA: uzupełnij — uwaga, był regres z UserDictionary, sprawdź czy naprawiony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Pozostałe typy: uzupełnij przed testem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4"/>
        </w:pBdr>
        <w:spacing w:after="160" w:before="160"/>
      </w:pPr>
    </w:p>
    <w:p>
      <w:pPr>
        <w:spacing w:after="0" w:before="80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LynxMask Mobile  |  AnchorEngine brief v2.0  |  czerwiec 2026  |  zastępuje v1.1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2026-06-29T19:40:21.963Z</dcterms:created>
  <dcterms:modified xsi:type="dcterms:W3CDTF">2026-06-29T19:40:21.974Z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