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76" w:lineRule="auto"/>
        <w:jc w:val="right"/>
      </w:pPr>
      <w:r>
        <w:rPr>
          <w:i/>
          <w:color w:val="5A5A5A"/>
          <w:sz w:val="20"/>
        </w:rPr>
        <w:t>{{ miejscowosc }}, dnia {{ data_sporzadzenia }} r.</w:t>
      </w:r>
    </w:p>
    <w:p>
      <w:pPr>
        <w:spacing w:before="0" w:after="80" w:line="276" w:lineRule="auto"/>
        <w:jc w:val="center"/>
      </w:pPr>
      <w:r>
        <w:rPr>
          <w:b/>
          <w:color w:val="0F172A"/>
          <w:sz w:val="32"/>
        </w:rPr>
        <w:t>NOTATKA</w:t>
      </w:r>
    </w:p>
    <w:p>
      <w:pPr>
        <w:spacing w:before="0" w:after="280" w:line="276" w:lineRule="auto"/>
        <w:jc w:val="center"/>
      </w:pPr>
      <w:r>
        <w:t xml:space="preserve">dotycząca analizy danych telekomunikacyjnych numeru </w:t>
      </w:r>
      <w:r>
        <w:rPr>
          <w:rFonts w:ascii="Consolas" w:hAnsi="Consolas"/>
          <w:color w:val="2563EB"/>
          <w:sz w:val="22"/>
        </w:rPr>
        <w:t>{{ msisdn }}</w:t>
      </w:r>
      <w:r>
        <w:t xml:space="preserve"> za okres od </w:t>
      </w:r>
      <w:r>
        <w:rPr>
          <w:rFonts w:ascii="Consolas" w:hAnsi="Consolas"/>
          <w:color w:val="2563EB"/>
          <w:sz w:val="22"/>
        </w:rPr>
        <w:t>{{ period_from }}</w:t>
      </w:r>
      <w:r>
        <w:t xml:space="preserve"> do </w:t>
      </w:r>
      <w:r>
        <w:rPr>
          <w:rFonts w:ascii="Consolas" w:hAnsi="Consolas"/>
          <w:color w:val="2563EB"/>
          <w:sz w:val="22"/>
        </w:rPr>
        <w:t>{{ period_to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1701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4151"/>
                <w:sz w:val="20"/>
              </w:rPr>
              <w:t>Sygnatura / sprawa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color w:val="2563EB"/>
                <w:sz w:val="18"/>
              </w:rPr>
              <w:t>{{ sygnatura_sprawy }}</w:t>
            </w:r>
          </w:p>
        </w:tc>
        <w:tc>
          <w:tcPr>
            <w:tcW w:type="dxa" w:w="1701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4151"/>
                <w:sz w:val="20"/>
              </w:rPr>
              <w:t>Operator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color w:val="2563EB"/>
                <w:sz w:val="18"/>
              </w:rPr>
              <w:t>{{ operator }}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4151"/>
                <w:sz w:val="20"/>
              </w:rPr>
              <w:t>Parametr główny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color w:val="2563EB"/>
                <w:sz w:val="18"/>
              </w:rPr>
              <w:t>{{ parametr_glowny }}</w:t>
            </w:r>
          </w:p>
        </w:tc>
        <w:tc>
          <w:tcPr>
            <w:tcW w:type="dxa" w:w="1701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4151"/>
                <w:sz w:val="20"/>
              </w:rPr>
              <w:t>Źródła danych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color w:val="2563EB"/>
                <w:sz w:val="18"/>
              </w:rPr>
              <w:t>{{ zrodla_danych }}</w:t>
            </w:r>
          </w:p>
        </w:tc>
      </w:tr>
      <w:tr>
        <w:tc>
          <w:tcPr>
            <w:tcW w:type="dxa" w:w="1701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4151"/>
                <w:sz w:val="20"/>
              </w:rPr>
              <w:t>Analityk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color w:val="2563EB"/>
                <w:sz w:val="18"/>
              </w:rPr>
              <w:t>{{ analityk }}</w:t>
            </w:r>
          </w:p>
        </w:tc>
        <w:tc>
          <w:tcPr>
            <w:tcW w:type="dxa" w:w="1701"/>
            <w:vAlign w:val="center"/>
            <w:shd w:fill="EEF3F8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374151"/>
                <w:sz w:val="20"/>
              </w:rPr>
              <w:t>Data raportu HTML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/>
                <w:color w:val="2563EB"/>
                <w:sz w:val="18"/>
              </w:rPr>
              <w:t>{{ data_raportu_html }}</w:t>
            </w:r>
          </w:p>
        </w:tc>
      </w:tr>
    </w:tbl>
    <w:p/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1. Wstęp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ramach czynności analitycznych przeprowadzono analizę materiału telekomunikacyjnego dotyczącego numeru </w:t>
      </w:r>
      <w:r>
        <w:rPr>
          <w:rFonts w:ascii="Consolas" w:hAnsi="Consolas"/>
          <w:color w:val="2563EB"/>
          <w:sz w:val="21"/>
        </w:rPr>
        <w:t>{{ msisdn }}</w:t>
      </w:r>
      <w:r>
        <w:rPr>
          <w:rFonts w:ascii="Calibri" w:hAnsi="Calibri"/>
          <w:sz w:val="22"/>
        </w:rPr>
        <w:t xml:space="preserve"> funkcjonującego w sieci </w:t>
      </w:r>
      <w:r>
        <w:rPr>
          <w:rFonts w:ascii="Consolas" w:hAnsi="Consolas"/>
          <w:color w:val="2563EB"/>
          <w:sz w:val="21"/>
        </w:rPr>
        <w:t>{{ operator }}</w:t>
      </w:r>
      <w:r>
        <w:rPr>
          <w:rFonts w:ascii="Calibri" w:hAnsi="Calibri"/>
          <w:sz w:val="22"/>
        </w:rPr>
        <w:t xml:space="preserve">. Analiza obejmuje okres od </w:t>
      </w:r>
      <w:r>
        <w:rPr>
          <w:rFonts w:ascii="Consolas" w:hAnsi="Consolas"/>
          <w:color w:val="2563EB"/>
          <w:sz w:val="21"/>
        </w:rPr>
        <w:t>{{ period_from }}</w:t>
      </w:r>
      <w:r>
        <w:rPr>
          <w:rFonts w:ascii="Calibri" w:hAnsi="Calibri"/>
          <w:sz w:val="22"/>
        </w:rPr>
        <w:t xml:space="preserve"> do </w:t>
      </w:r>
      <w:r>
        <w:rPr>
          <w:rFonts w:ascii="Consolas" w:hAnsi="Consolas"/>
          <w:color w:val="2563EB"/>
          <w:sz w:val="21"/>
        </w:rPr>
        <w:t>{{ period_to }}</w:t>
      </w:r>
      <w:r>
        <w:rPr>
          <w:rFonts w:ascii="Calibri" w:hAnsi="Calibri"/>
          <w:sz w:val="22"/>
        </w:rPr>
        <w:t xml:space="preserve"> i została oparta na danych pochodzących z raportu HTML oraz materiałów źródłowych w postaci rekordów ruchu telekomunikacyjnego, danych identyfikacyjnych urządzeń, zestawień kontaktów, informacji lokalizacyjnych BTS oraz wykrytych anomalii.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>Celem notatki jest syntetyczne przedstawienie ustaleń wynikających z analizy, z rozdzieleniem informacji o charakterze potwierdzonym od ocen i hipotez operacyjnych. Wnioski sformułowano wyłącznie w granicach informacji wynikających z materiału źródłowego, z uwzględnieniem ograniczeń interpretacyjnych typowych dla danych bilingowych jednego numeru.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2. Zakres materiału i metodologia</w:t>
      </w:r>
    </w:p>
    <w:p>
      <w:pPr>
        <w:spacing w:before="0" w:after="40" w:line="283" w:lineRule="auto"/>
        <w:jc w:val="both"/>
      </w:pPr>
      <w:r>
        <w:rPr>
          <w:rFonts w:ascii="Calibri" w:hAnsi="Calibri"/>
          <w:b/>
          <w:sz w:val="22"/>
        </w:rPr>
        <w:t>Do analizy wykorzystano w szczególności: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source.calls }}</w:t>
      </w:r>
      <w:r>
        <w:t xml:space="preserve"> – zdarzenia połączeń głosowych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source.sms }}</w:t>
      </w:r>
      <w:r>
        <w:t xml:space="preserve"> – zdarzenia wiadomości SMS/MMS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source.data }}</w:t>
      </w:r>
      <w:r>
        <w:t xml:space="preserve"> – transmisję danych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source.identifiers }}</w:t>
      </w:r>
      <w:r>
        <w:t xml:space="preserve"> – identyfikatory IMSI/IMEI i zmiany urządzeń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source.contacts }}</w:t>
      </w:r>
      <w:r>
        <w:t xml:space="preserve"> – zestawienia kontaktów i numery specjalne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source.locations }}</w:t>
      </w:r>
      <w:r>
        <w:t xml:space="preserve"> – dane BTS, geolokalizację i aktywność przestrzenną</w:t>
      </w:r>
    </w:p>
    <w:p>
      <w:pPr>
        <w:pStyle w:val="ListBullet"/>
        <w:spacing w:before="0" w:after="20" w:line="259" w:lineRule="auto"/>
        <w:jc w:val="both"/>
      </w:pPr>
      <w:r>
        <w:rPr>
          <w:rFonts w:ascii="Consolas" w:hAnsi="Consolas"/>
          <w:color w:val="2563EB"/>
          <w:sz w:val="21"/>
        </w:rPr>
        <w:t>{{ source.anomalies }}</w:t>
      </w:r>
      <w:r>
        <w:t xml:space="preserve"> – katalog anomalii wygenerowanych w raporcie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>W toku analizy zastosowano porównanie chronologiczne, ocenę intensywności aktywności, identyfikację wzorców kontaktowych, przegląd zmian urządzeń oraz korelację aktywności z danymi lokalizacyjnymi. W przypadku anomalii przyjęto ostrożne podejście analityczne, zgodnie z którym nie formułuje się tez kategorycznych w sytuacji, gdy materiał wskazuje wyłącznie na przesłanki lub wzorzec wymagający dalszej weryfikacji.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3. Identyfikacja numeru i urządzenia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Analizowany materiał dotyczy numeru </w:t>
      </w:r>
      <w:r>
        <w:rPr>
          <w:rFonts w:ascii="Consolas" w:hAnsi="Consolas"/>
          <w:color w:val="2563EB"/>
          <w:sz w:val="21"/>
        </w:rPr>
        <w:t>{{ msisdn }}</w:t>
      </w:r>
      <w:r>
        <w:rPr>
          <w:rFonts w:ascii="Calibri" w:hAnsi="Calibri"/>
          <w:sz w:val="22"/>
        </w:rPr>
        <w:t xml:space="preserve">, związanego z parametrem głównym </w:t>
      </w:r>
      <w:r>
        <w:rPr>
          <w:rFonts w:ascii="Consolas" w:hAnsi="Consolas"/>
          <w:color w:val="2563EB"/>
          <w:sz w:val="21"/>
        </w:rPr>
        <w:t>{{ parametr_glowny }}</w:t>
      </w:r>
      <w:r>
        <w:rPr>
          <w:rFonts w:ascii="Calibri" w:hAnsi="Calibri"/>
          <w:sz w:val="22"/>
        </w:rPr>
        <w:t xml:space="preserve">. W badanym okresie zidentyfikowano następujące identyfikatory abonenta i urządzeń: IMSI </w:t>
      </w:r>
      <w:r>
        <w:rPr>
          <w:rFonts w:ascii="Consolas" w:hAnsi="Consolas"/>
          <w:color w:val="2563EB"/>
          <w:sz w:val="21"/>
        </w:rPr>
        <w:t>{{ imsi_list }}</w:t>
      </w:r>
      <w:r>
        <w:rPr>
          <w:rFonts w:ascii="Calibri" w:hAnsi="Calibri"/>
          <w:sz w:val="22"/>
        </w:rPr>
        <w:t xml:space="preserve">, IMEI </w:t>
      </w:r>
      <w:r>
        <w:rPr>
          <w:rFonts w:ascii="Consolas" w:hAnsi="Consolas"/>
          <w:color w:val="2563EB"/>
          <w:sz w:val="21"/>
        </w:rPr>
        <w:t>{{ imei_list }}</w:t>
      </w:r>
      <w:r>
        <w:rPr>
          <w:rFonts w:ascii="Calibri" w:hAnsi="Calibri"/>
          <w:sz w:val="22"/>
        </w:rPr>
        <w:t>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raporcie odnotowano liczbę unikalnych urządzeń równą </w:t>
      </w:r>
      <w:r>
        <w:rPr>
          <w:rFonts w:ascii="Consolas" w:hAnsi="Consolas"/>
          <w:color w:val="2563EB"/>
          <w:sz w:val="21"/>
        </w:rPr>
        <w:t>{{ unique_imei_count }}</w:t>
      </w:r>
      <w:r>
        <w:rPr>
          <w:rFonts w:ascii="Calibri" w:hAnsi="Calibri"/>
          <w:sz w:val="22"/>
        </w:rPr>
        <w:t xml:space="preserve">, przy czym układ dual-IMEI został oznaczony jako </w:t>
      </w:r>
      <w:r>
        <w:rPr>
          <w:rFonts w:ascii="Consolas" w:hAnsi="Consolas"/>
          <w:color w:val="2563EB"/>
          <w:sz w:val="21"/>
        </w:rPr>
        <w:t>{{ dual_imei_present }}</w:t>
      </w:r>
      <w:r>
        <w:rPr>
          <w:rFonts w:ascii="Calibri" w:hAnsi="Calibri"/>
          <w:sz w:val="22"/>
        </w:rPr>
        <w:t>. Zmiany urządzenia lub zmiany aktywnego identyfikatora należy interpretować w zestawieniu z osią czasu aktywności i charakterem ruchu, bez automatycznego przypisywania im znaczenia operacyjnego bez dodatkowych danych potwierdzających.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16"/>
        <w:gridCol w:w="4816"/>
      </w:tblGrid>
      <w:tr>
        <w:tc>
          <w:tcPr>
            <w:tcW w:type="dxa" w:w="3515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MSISDN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563EB"/>
                <w:sz w:val="20"/>
              </w:rPr>
              <w:t>{{ msisdn }}</w:t>
            </w:r>
          </w:p>
        </w:tc>
      </w:tr>
      <w:tr>
        <w:tc>
          <w:tcPr>
            <w:tcW w:type="dxa" w:w="3515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IMSI / IMSI aktywne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563EB"/>
                <w:sz w:val="20"/>
              </w:rPr>
              <w:t>{{ imsi_list }} / {{ imsi_primary }}</w:t>
            </w:r>
          </w:p>
        </w:tc>
      </w:tr>
      <w:tr>
        <w:tc>
          <w:tcPr>
            <w:tcW w:type="dxa" w:w="3515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IMEI / Dual-IMEI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563EB"/>
                <w:sz w:val="20"/>
              </w:rPr>
              <w:t>{{ imei_list }} / {{ dual_imei_value }}</w:t>
            </w:r>
          </w:p>
        </w:tc>
      </w:tr>
      <w:tr>
        <w:tc>
          <w:tcPr>
            <w:tcW w:type="dxa" w:w="3515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Zmiany IMEI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563EB"/>
                <w:sz w:val="20"/>
              </w:rPr>
              <w:t>{{ imei_change_count }}</w:t>
            </w:r>
          </w:p>
        </w:tc>
      </w:tr>
      <w:tr>
        <w:tc>
          <w:tcPr>
            <w:tcW w:type="dxa" w:w="3515"/>
            <w:vAlign w:val="center"/>
            <w:shd w:fill="EEF3F8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Uwagi identyfikacyjne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563EB"/>
                <w:sz w:val="20"/>
              </w:rPr>
              <w:t>{{ device_identification_notes }}</w:t>
            </w:r>
          </w:p>
        </w:tc>
      </w:tr>
    </w:tbl>
    <w:p/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4. Charakterystyka aktywności telekomunikacyjnej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analizowanym okresie odnotowano łącznie </w:t>
      </w:r>
      <w:r>
        <w:rPr>
          <w:rFonts w:ascii="Consolas" w:hAnsi="Consolas"/>
          <w:color w:val="2563EB"/>
          <w:sz w:val="21"/>
        </w:rPr>
        <w:t>{{ total_records }}</w:t>
      </w:r>
      <w:r>
        <w:rPr>
          <w:rFonts w:ascii="Calibri" w:hAnsi="Calibri"/>
          <w:sz w:val="22"/>
        </w:rPr>
        <w:t xml:space="preserve"> rekordów, w tym połączenia przychodzące i wychodzące, wiadomości, przekierowania oraz zdarzenia transmisji danych. Kluczowe statystyki przedstawiają się następująco: połączenia przychodzące </w:t>
      </w:r>
      <w:r>
        <w:rPr>
          <w:rFonts w:ascii="Consolas" w:hAnsi="Consolas"/>
          <w:color w:val="2563EB"/>
          <w:sz w:val="21"/>
        </w:rPr>
        <w:t>{{ stats.incoming_calls }}</w:t>
      </w:r>
      <w:r>
        <w:rPr>
          <w:rFonts w:ascii="Calibri" w:hAnsi="Calibri"/>
          <w:sz w:val="22"/>
        </w:rPr>
        <w:t xml:space="preserve">, połączenia wychodzące </w:t>
      </w:r>
      <w:r>
        <w:rPr>
          <w:rFonts w:ascii="Consolas" w:hAnsi="Consolas"/>
          <w:color w:val="2563EB"/>
          <w:sz w:val="21"/>
        </w:rPr>
        <w:t>{{ stats.outgoing_calls }}</w:t>
      </w:r>
      <w:r>
        <w:rPr>
          <w:rFonts w:ascii="Calibri" w:hAnsi="Calibri"/>
          <w:sz w:val="22"/>
        </w:rPr>
        <w:t xml:space="preserve">, SMS przychodzące </w:t>
      </w:r>
      <w:r>
        <w:rPr>
          <w:rFonts w:ascii="Consolas" w:hAnsi="Consolas"/>
          <w:color w:val="2563EB"/>
          <w:sz w:val="21"/>
        </w:rPr>
        <w:t>{{ stats.sms_in }}</w:t>
      </w:r>
      <w:r>
        <w:rPr>
          <w:rFonts w:ascii="Calibri" w:hAnsi="Calibri"/>
          <w:sz w:val="22"/>
        </w:rPr>
        <w:t xml:space="preserve">, SMS wychodzące </w:t>
      </w:r>
      <w:r>
        <w:rPr>
          <w:rFonts w:ascii="Consolas" w:hAnsi="Consolas"/>
          <w:color w:val="2563EB"/>
          <w:sz w:val="21"/>
        </w:rPr>
        <w:t>{{ stats.sms_out }}</w:t>
      </w:r>
      <w:r>
        <w:rPr>
          <w:rFonts w:ascii="Calibri" w:hAnsi="Calibri"/>
          <w:sz w:val="22"/>
        </w:rPr>
        <w:t xml:space="preserve">, transmisja danych </w:t>
      </w:r>
      <w:r>
        <w:rPr>
          <w:rFonts w:ascii="Consolas" w:hAnsi="Consolas"/>
          <w:color w:val="2563EB"/>
          <w:sz w:val="21"/>
        </w:rPr>
        <w:t>{{ stats.data_sessions }}</w:t>
      </w:r>
      <w:r>
        <w:rPr>
          <w:rFonts w:ascii="Calibri" w:hAnsi="Calibri"/>
          <w:sz w:val="22"/>
        </w:rPr>
        <w:t>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Rozkład aktywności godzinowej i tygodniowej wskazuje na </w:t>
      </w:r>
      <w:r>
        <w:rPr>
          <w:rFonts w:ascii="Consolas" w:hAnsi="Consolas"/>
          <w:color w:val="2563EB"/>
          <w:sz w:val="21"/>
        </w:rPr>
        <w:t>{{ activity.hourly_pattern }}</w:t>
      </w:r>
      <w:r>
        <w:rPr>
          <w:rFonts w:ascii="Calibri" w:hAnsi="Calibri"/>
          <w:sz w:val="22"/>
        </w:rPr>
        <w:t xml:space="preserve">, przy czym aktywność nocna została oszacowana na </w:t>
      </w:r>
      <w:r>
        <w:rPr>
          <w:rFonts w:ascii="Consolas" w:hAnsi="Consolas"/>
          <w:color w:val="2563EB"/>
          <w:sz w:val="21"/>
        </w:rPr>
        <w:t>{{ activity.night_share }}</w:t>
      </w:r>
      <w:r>
        <w:rPr>
          <w:rFonts w:ascii="Calibri" w:hAnsi="Calibri"/>
          <w:sz w:val="22"/>
        </w:rPr>
        <w:t xml:space="preserve">, a aktywność weekendowa na </w:t>
      </w:r>
      <w:r>
        <w:rPr>
          <w:rFonts w:ascii="Consolas" w:hAnsi="Consolas"/>
          <w:color w:val="2563EB"/>
          <w:sz w:val="21"/>
        </w:rPr>
        <w:t>{{ activity.weekend_share }}</w:t>
      </w:r>
      <w:r>
        <w:rPr>
          <w:rFonts w:ascii="Calibri" w:hAnsi="Calibri"/>
          <w:sz w:val="22"/>
        </w:rPr>
        <w:t>. W przypadku istotnych odchyleń od typowego profilu użytkownika należy je rozpatrywać łącznie z kontaktami, lokalizacją i anomaliami czasowymi.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zakresie numerów specjalnych odnotowano: </w:t>
      </w:r>
      <w:r>
        <w:rPr>
          <w:rFonts w:ascii="Consolas" w:hAnsi="Consolas"/>
          <w:color w:val="2563EB"/>
          <w:sz w:val="21"/>
        </w:rPr>
        <w:t>{{ special_numbers_summary }}</w:t>
      </w:r>
      <w:r>
        <w:rPr>
          <w:rFonts w:ascii="Calibri" w:hAnsi="Calibri"/>
          <w:sz w:val="22"/>
        </w:rPr>
        <w:t>. Informacja ta może mieć znaczenie uzupełniające przy ocenie charakteru aktywności, jednak powinna być odnoszona do pełnego kontekstu sprawy.</w:t>
      </w:r>
    </w:p>
    <w:p>
      <w:r>
        <w:rPr>
          <w:color w:val="FFFFFF"/>
          <w:sz w:val="2"/>
        </w:rPr>
        <w:t>{%p if chart_activity %}</w:t>
      </w:r>
    </w:p>
    <w:p>
      <w:pPr>
        <w:jc w:val="center"/>
      </w:pPr>
      <w:r>
        <w:rPr>
          <w:b/>
          <w:color w:val="000000"/>
          <w:sz w:val="18"/>
        </w:rPr>
        <w:t>Wykres: Rozkład aktywności telekomunikacyjnej</w:t>
      </w:r>
    </w:p>
    <w:p>
      <w:pPr>
        <w:jc w:val="center"/>
      </w:pPr>
      <w:r>
        <w:rPr>
          <w:sz w:val="20"/>
        </w:rPr>
        <w:t>{{ chart_activity }}</w:t>
      </w:r>
    </w:p>
    <w:p>
      <w:r>
        <w:rPr>
          <w:color w:val="FFFFFF"/>
          <w:sz w:val="2"/>
        </w:rPr>
        <w:t>{%p endif %}</w:t>
      </w:r>
    </w:p>
    <w:p>
      <w:r>
        <w:rPr>
          <w:color w:val="FFFFFF"/>
          <w:sz w:val="2"/>
        </w:rPr>
        <w:t>{%p if chart_night_activity %}</w:t>
      </w:r>
    </w:p>
    <w:p>
      <w:pPr>
        <w:jc w:val="center"/>
      </w:pPr>
      <w:r>
        <w:rPr>
          <w:b/>
          <w:color w:val="000000"/>
          <w:sz w:val="18"/>
        </w:rPr>
        <w:t>Wykres: Aktywność nocna</w:t>
      </w:r>
    </w:p>
    <w:p>
      <w:pPr>
        <w:jc w:val="center"/>
      </w:pPr>
      <w:r>
        <w:rPr>
          <w:sz w:val="20"/>
        </w:rPr>
        <w:t>{{ chart_night_activity }}</w:t>
      </w:r>
    </w:p>
    <w:p>
      <w:r>
        <w:rPr>
          <w:color w:val="FFFFFF"/>
          <w:sz w:val="2"/>
        </w:rPr>
        <w:t>{%p endif %}</w:t>
      </w:r>
    </w:p>
    <w:p>
      <w:r>
        <w:rPr>
          <w:color w:val="FFFFFF"/>
          <w:sz w:val="2"/>
        </w:rPr>
        <w:t>{%p if chart_weekend_activity %}</w:t>
      </w:r>
    </w:p>
    <w:p>
      <w:pPr>
        <w:jc w:val="center"/>
      </w:pPr>
      <w:r>
        <w:rPr>
          <w:b/>
          <w:color w:val="000000"/>
          <w:sz w:val="18"/>
        </w:rPr>
        <w:t>Wykres: Aktywność weekendowa</w:t>
      </w:r>
    </w:p>
    <w:p>
      <w:pPr>
        <w:jc w:val="center"/>
      </w:pPr>
      <w:r>
        <w:rPr>
          <w:sz w:val="20"/>
        </w:rPr>
        <w:t>{{ chart_weekend_activity }}</w:t>
      </w:r>
    </w:p>
    <w:p>
      <w:r>
        <w:rPr>
          <w:color w:val="FFFFFF"/>
          <w:sz w:val="2"/>
        </w:rPr>
        <w:t>{%p endif %}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5. Charakterystyka kontaktów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Analiza relacji kontaktowych wskazuje, że numer </w:t>
      </w:r>
      <w:r>
        <w:rPr>
          <w:rFonts w:ascii="Consolas" w:hAnsi="Consolas"/>
          <w:color w:val="2563EB"/>
          <w:sz w:val="21"/>
        </w:rPr>
        <w:t>{{ msisdn }}</w:t>
      </w:r>
      <w:r>
        <w:rPr>
          <w:rFonts w:ascii="Calibri" w:hAnsi="Calibri"/>
          <w:sz w:val="22"/>
        </w:rPr>
        <w:t xml:space="preserve"> pozostawał w relacji z </w:t>
      </w:r>
      <w:r>
        <w:rPr>
          <w:rFonts w:ascii="Consolas" w:hAnsi="Consolas"/>
          <w:color w:val="2563EB"/>
          <w:sz w:val="21"/>
        </w:rPr>
        <w:t>{{ contacts.unique_count }}</w:t>
      </w:r>
      <w:r>
        <w:rPr>
          <w:rFonts w:ascii="Calibri" w:hAnsi="Calibri"/>
          <w:sz w:val="22"/>
        </w:rPr>
        <w:t xml:space="preserve"> unikalnymi numerami. Najczęściej występujące kontakty to: </w:t>
      </w:r>
      <w:r>
        <w:rPr>
          <w:rFonts w:ascii="Consolas" w:hAnsi="Consolas"/>
          <w:color w:val="2563EB"/>
          <w:sz w:val="21"/>
        </w:rPr>
        <w:t>{{ contacts.top_list }}</w:t>
      </w:r>
      <w:r>
        <w:rPr>
          <w:rFonts w:ascii="Calibri" w:hAnsi="Calibri"/>
          <w:sz w:val="22"/>
        </w:rPr>
        <w:t>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odniesieniu do kontaktów należy odnotować ich strukturę kierunkową, częstotliwość i trwałość relacji. Na uwagę zasługują w szczególności kontakty o zwiększonej intensywności, kontakty krótkotrwałe pojawiające się wyłącznie incydentalnie oraz kontakty o potencjalnym znaczeniu operacyjnym, opisane w raporcie jako </w:t>
      </w:r>
      <w:r>
        <w:rPr>
          <w:rFonts w:ascii="Consolas" w:hAnsi="Consolas"/>
          <w:color w:val="2563EB"/>
          <w:sz w:val="21"/>
        </w:rPr>
        <w:t>{{ contacts.assessment }}</w:t>
      </w:r>
      <w:r>
        <w:rPr>
          <w:rFonts w:ascii="Calibri" w:hAnsi="Calibri"/>
          <w:sz w:val="22"/>
        </w:rPr>
        <w:t>.</w:t>
      </w:r>
    </w:p>
    <w:p>
      <w:r>
        <w:rPr>
          <w:color w:val="FFFFFF"/>
          <w:sz w:val="2"/>
        </w:rPr>
        <w:t>{%p if chart_top_contacts %}</w:t>
      </w:r>
    </w:p>
    <w:p>
      <w:pPr>
        <w:jc w:val="center"/>
      </w:pPr>
      <w:r>
        <w:rPr>
          <w:b/>
          <w:color w:val="000000"/>
          <w:sz w:val="18"/>
        </w:rPr>
        <w:t>Wykres: Najczęstsze kontakty</w:t>
      </w:r>
    </w:p>
    <w:p>
      <w:pPr>
        <w:jc w:val="center"/>
      </w:pPr>
      <w:r>
        <w:rPr>
          <w:sz w:val="20"/>
        </w:rPr>
        <w:t>{{ chart_top_contacts }}</w:t>
      </w:r>
    </w:p>
    <w:p>
      <w:r>
        <w:rPr>
          <w:color w:val="FFFFFF"/>
          <w:sz w:val="2"/>
        </w:rPr>
        <w:t>{%p endif %}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6. Anomalie i wzorce nietypowe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raporcie wygenerowano </w:t>
      </w:r>
      <w:r>
        <w:rPr>
          <w:rFonts w:ascii="Consolas" w:hAnsi="Consolas"/>
          <w:color w:val="2563EB"/>
          <w:sz w:val="21"/>
        </w:rPr>
        <w:t>{{ anomalies.count }}</w:t>
      </w:r>
      <w:r>
        <w:rPr>
          <w:rFonts w:ascii="Calibri" w:hAnsi="Calibri"/>
          <w:sz w:val="22"/>
        </w:rPr>
        <w:t xml:space="preserve"> kategorii anomalii. Ich syntetyczny opis obejmuje: </w:t>
      </w:r>
      <w:r>
        <w:rPr>
          <w:rFonts w:ascii="Consolas" w:hAnsi="Consolas"/>
          <w:color w:val="2563EB"/>
          <w:sz w:val="21"/>
        </w:rPr>
        <w:t>{{ anomalies.categories }}</w:t>
      </w:r>
      <w:r>
        <w:rPr>
          <w:rFonts w:ascii="Calibri" w:hAnsi="Calibri"/>
          <w:sz w:val="22"/>
        </w:rPr>
        <w:t>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Na szczególną uwagę zasługują następujące zjawiska: </w:t>
      </w:r>
      <w:r>
        <w:rPr>
          <w:rFonts w:ascii="Consolas" w:hAnsi="Consolas"/>
          <w:color w:val="2563EB"/>
          <w:sz w:val="21"/>
        </w:rPr>
        <w:t>{{ anomalies.top_findings }}</w:t>
      </w:r>
      <w:r>
        <w:rPr>
          <w:rFonts w:ascii="Calibri" w:hAnsi="Calibri"/>
          <w:sz w:val="22"/>
        </w:rPr>
        <w:t>. Ujawnione wzorce mogą wskazywać na nietypową aktywność telekomunikacyjną, jednak ich znaczenie należy oceniać ostrożnie, z rozróżnieniem między przesłanką analityczną a ustaleniem potwierdzonym materiałem źródłowym.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7. Dane lokalizacyjne i mobilność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Na podstawie danych BTS i geolokalizacyjnych ustalono, że aktywność numeru koncentrowała się w rejonach: </w:t>
      </w:r>
      <w:r>
        <w:rPr>
          <w:rFonts w:ascii="Consolas" w:hAnsi="Consolas"/>
          <w:color w:val="2563EB"/>
          <w:sz w:val="21"/>
        </w:rPr>
        <w:t>{{ locations.main_areas }}</w:t>
      </w:r>
      <w:r>
        <w:rPr>
          <w:rFonts w:ascii="Calibri" w:hAnsi="Calibri"/>
          <w:sz w:val="22"/>
        </w:rPr>
        <w:t xml:space="preserve">. Łączna liczba unikalnych lokalizacji BTS wyniosła </w:t>
      </w:r>
      <w:r>
        <w:rPr>
          <w:rFonts w:ascii="Consolas" w:hAnsi="Consolas"/>
          <w:color w:val="2563EB"/>
          <w:sz w:val="21"/>
        </w:rPr>
        <w:t>{{ locations.bts_count }}</w:t>
      </w:r>
      <w:r>
        <w:rPr>
          <w:rFonts w:ascii="Calibri" w:hAnsi="Calibri"/>
          <w:sz w:val="22"/>
        </w:rPr>
        <w:t xml:space="preserve">, zaś dominujące punkty aktywności opisano jako </w:t>
      </w:r>
      <w:r>
        <w:rPr>
          <w:rFonts w:ascii="Consolas" w:hAnsi="Consolas"/>
          <w:color w:val="2563EB"/>
          <w:sz w:val="21"/>
        </w:rPr>
        <w:t>{{ locations.dominant_bts }}</w:t>
      </w:r>
      <w:r>
        <w:rPr>
          <w:rFonts w:ascii="Calibri" w:hAnsi="Calibri"/>
          <w:sz w:val="22"/>
        </w:rPr>
        <w:t>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materiale odnotowano również następujące przesłanki dotyczące przemieszczania się i miejsc noclegowych: </w:t>
      </w:r>
      <w:r>
        <w:rPr>
          <w:rFonts w:ascii="Consolas" w:hAnsi="Consolas"/>
          <w:color w:val="2563EB"/>
          <w:sz w:val="21"/>
        </w:rPr>
        <w:t>{{ locations.overnights_summary }}</w:t>
      </w:r>
      <w:r>
        <w:rPr>
          <w:rFonts w:ascii="Calibri" w:hAnsi="Calibri"/>
          <w:sz w:val="22"/>
        </w:rPr>
        <w:t>. W przypadku danych lokalizacyjnych należy pamiętać, że ich interpretacja ma charakter przybliżony i zależy od gęstości sieci oraz sposobu logowania urządzenia do stacji bazowych.</w:t>
      </w:r>
    </w:p>
    <w:p>
      <w:r>
        <w:rPr>
          <w:color w:val="FFFFFF"/>
          <w:sz w:val="2"/>
        </w:rPr>
        <w:t>{%p if chart_map_bts %}</w:t>
      </w:r>
    </w:p>
    <w:p>
      <w:pPr>
        <w:jc w:val="center"/>
      </w:pPr>
      <w:r>
        <w:rPr>
          <w:b/>
          <w:color w:val="000000"/>
          <w:sz w:val="18"/>
        </w:rPr>
        <w:t>Mapa: Lokalizacje stacji BTS</w:t>
      </w:r>
    </w:p>
    <w:p>
      <w:pPr>
        <w:jc w:val="center"/>
      </w:pPr>
      <w:r>
        <w:rPr>
          <w:sz w:val="20"/>
        </w:rPr>
        <w:t>{{ chart_map_bts }}</w:t>
      </w:r>
    </w:p>
    <w:p>
      <w:r>
        <w:rPr>
          <w:color w:val="FFFFFF"/>
          <w:sz w:val="2"/>
        </w:rPr>
        <w:t>{%p endif %}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8. Ocena sytuacji analitycznej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Całościowa ocena materiału wskazuje, że aktywność numeru </w:t>
      </w:r>
      <w:r>
        <w:rPr>
          <w:rFonts w:ascii="Consolas" w:hAnsi="Consolas"/>
          <w:color w:val="2563EB"/>
          <w:sz w:val="21"/>
        </w:rPr>
        <w:t>{{ msisdn }}</w:t>
      </w:r>
      <w:r>
        <w:rPr>
          <w:rFonts w:ascii="Calibri" w:hAnsi="Calibri"/>
          <w:sz w:val="22"/>
        </w:rPr>
        <w:t xml:space="preserve"> charakteryzuje się następującymi cechami dominującymi: </w:t>
      </w:r>
      <w:r>
        <w:rPr>
          <w:rFonts w:ascii="Consolas" w:hAnsi="Consolas"/>
          <w:color w:val="2563EB"/>
          <w:sz w:val="21"/>
        </w:rPr>
        <w:t>{{ assessment.main_characteristics }}</w:t>
      </w:r>
      <w:r>
        <w:rPr>
          <w:rFonts w:ascii="Calibri" w:hAnsi="Calibri"/>
          <w:sz w:val="22"/>
        </w:rPr>
        <w:t>.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 xml:space="preserve">W świetle zgromadzonych danych można sformułować następującą ocenę roboczą: </w:t>
      </w:r>
      <w:r>
        <w:rPr>
          <w:rFonts w:ascii="Consolas" w:hAnsi="Consolas"/>
          <w:color w:val="2563EB"/>
          <w:sz w:val="21"/>
        </w:rPr>
        <w:t>{{ assessment.working_assessment }}</w:t>
      </w:r>
      <w:r>
        <w:rPr>
          <w:rFonts w:ascii="Calibri" w:hAnsi="Calibri"/>
          <w:sz w:val="22"/>
        </w:rPr>
        <w:t>. W przypadku występowania anomalii lub zmian urządzeń ich znaczenie powinno być odnoszone do szerszego kontekstu sprawy, a nie interpretowane samoistnie.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9. Wnioski</w:t>
      </w:r>
    </w:p>
    <w:p>
      <w:pPr>
        <w:pStyle w:val="ListNumber"/>
        <w:spacing w:before="0" w:after="40" w:line="252" w:lineRule="auto"/>
        <w:jc w:val="both"/>
      </w:pPr>
      <w:r>
        <w:rPr>
          <w:rFonts w:ascii="Consolas" w:hAnsi="Consolas"/>
          <w:color w:val="2563EB"/>
          <w:sz w:val="21"/>
        </w:rPr>
        <w:t>{{ conclusions.point_1 }}</w:t>
      </w:r>
    </w:p>
    <w:p>
      <w:pPr>
        <w:pStyle w:val="ListNumber"/>
        <w:spacing w:before="0" w:after="40" w:line="252" w:lineRule="auto"/>
        <w:jc w:val="both"/>
      </w:pPr>
      <w:r>
        <w:rPr>
          <w:rFonts w:ascii="Consolas" w:hAnsi="Consolas"/>
          <w:color w:val="2563EB"/>
          <w:sz w:val="21"/>
        </w:rPr>
        <w:t>{{ conclusions.point_2 }}</w:t>
      </w:r>
    </w:p>
    <w:p>
      <w:pPr>
        <w:pStyle w:val="ListNumber"/>
        <w:spacing w:before="0" w:after="40" w:line="252" w:lineRule="auto"/>
        <w:jc w:val="both"/>
      </w:pPr>
      <w:r>
        <w:rPr>
          <w:rFonts w:ascii="Consolas" w:hAnsi="Consolas"/>
          <w:color w:val="2563EB"/>
          <w:sz w:val="21"/>
        </w:rPr>
        <w:t>{{ conclusions.point_3 }}</w:t>
      </w:r>
    </w:p>
    <w:p>
      <w:pPr>
        <w:pStyle w:val="ListNumber"/>
        <w:spacing w:before="0" w:after="40" w:line="252" w:lineRule="auto"/>
        <w:jc w:val="both"/>
      </w:pPr>
      <w:r>
        <w:rPr>
          <w:rFonts w:ascii="Consolas" w:hAnsi="Consolas"/>
          <w:color w:val="2563EB"/>
          <w:sz w:val="21"/>
        </w:rPr>
        <w:t>{{ conclusions.point_4 }}</w:t>
      </w:r>
    </w:p>
    <w:p>
      <w:pPr>
        <w:spacing w:before="0" w:after="80" w:line="283" w:lineRule="auto"/>
        <w:jc w:val="both"/>
      </w:pPr>
      <w:r>
        <w:rPr>
          <w:rFonts w:ascii="Calibri" w:hAnsi="Calibri"/>
          <w:sz w:val="22"/>
        </w:rPr>
        <w:t>W razie potrzeby dalszych ustaleń rekomenduje się konfrontację powyższych wniosków z dodatkowymi materiałami, w szczególności z pełnymi rekordami operatorskimi, danymi z innych numerów, informacjami o urządzeniach końcowych oraz materiałem pozatelekomunikacyjnym.</w:t>
      </w:r>
    </w:p>
    <w:p>
      <w:pPr>
        <w:pStyle w:val="Heading1"/>
        <w:spacing w:before="120" w:after="80" w:line="240" w:lineRule="auto"/>
      </w:pPr>
      <w:r>
        <w:rPr>
          <w:rFonts w:ascii="Calibri" w:hAnsi="Calibri"/>
          <w:b/>
          <w:color w:val="1F4E79"/>
          <w:sz w:val="26"/>
        </w:rPr>
        <w:t>10. Uwagi końcowe</w:t>
      </w:r>
    </w:p>
    <w:p>
      <w:pPr>
        <w:spacing w:before="0" w:after="120" w:line="283" w:lineRule="auto"/>
        <w:jc w:val="both"/>
      </w:pPr>
      <w:r>
        <w:rPr>
          <w:rFonts w:ascii="Calibri" w:hAnsi="Calibri"/>
          <w:sz w:val="22"/>
        </w:rPr>
        <w:t>Niniejsza notatka ma charakter analityczny i służy uporządkowaniu ustaleń wynikających z raportu HTML. Miejsca oznaczone placeholderami należy uzupełnić automatycznie lub redakcyjnie, z zachowaniem spójności z materiałem źródłowym i bez wprowadzania twierdzeń niewynikających z danych.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Sporządził: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Akceptacja / uwagi:</w:t>
            </w:r>
          </w:p>
        </w:tc>
      </w:tr>
      <w:t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_______________________________</w:t>
              <w:br/>
            </w:r>
            <w:r>
              <w:rPr>
                <w:color w:val="5A5A5A"/>
                <w:sz w:val="20"/>
              </w:rPr>
              <w:t>{{ podpis }}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</w:pPr>
            <w:r>
              <w:rPr>
                <w:sz w:val="20"/>
              </w:rPr>
              <w:t>_______________________________</w:t>
              <w:br/>
            </w:r>
            <w:r>
              <w:rPr>
                <w:color w:val="5A5A5A"/>
                <w:sz w:val="20"/>
              </w:rPr>
              <w:t>{{ akceptacja }}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