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479B" w14:textId="77777777" w:rsidR="00616B92" w:rsidRDefault="00000000">
      <w:pPr>
        <w:pStyle w:val="Title"/>
      </w:pPr>
      <w:r>
        <w:t>Typographic System Specification: Atkinson Hyperlegible, Roboto Flex, Roboto Mono, Noto Sans/Serif</w:t>
      </w:r>
    </w:p>
    <w:p w14:paraId="7BC9B88F" w14:textId="77777777" w:rsidR="00616B92" w:rsidRDefault="00000000">
      <w:pPr>
        <w:pStyle w:val="Heading1"/>
      </w:pPr>
      <w:r>
        <w:t>1. Overview</w:t>
      </w:r>
    </w:p>
    <w:p w14:paraId="04BA4014" w14:textId="77777777" w:rsidR="00616B92" w:rsidRDefault="00000000">
      <w:r>
        <w:t>This specification defines a three‑voice typographic system combining Atkinson Hyperlegible, Roboto Flex, Roboto Mono, and Noto Sans/Serif. The system supports accessibility‑critical UI, technical workflows, and human‑centered reading environments.</w:t>
      </w:r>
    </w:p>
    <w:p w14:paraId="7838E673" w14:textId="77777777" w:rsidR="00616B92" w:rsidRDefault="00000000">
      <w:pPr>
        <w:pStyle w:val="Heading1"/>
      </w:pPr>
      <w:r>
        <w:t>2. System Roles</w:t>
      </w:r>
    </w:p>
    <w:p w14:paraId="39EDC9E8" w14:textId="77777777" w:rsidR="00616B92" w:rsidRDefault="00000000">
      <w:pPr>
        <w:pStyle w:val="Heading2"/>
      </w:pPr>
      <w:r>
        <w:t>2.1 Accessibility Anchor</w:t>
      </w:r>
    </w:p>
    <w:p w14:paraId="72679422" w14:textId="77777777" w:rsidR="00616B92" w:rsidRDefault="00000000">
      <w:r>
        <w:t>**Typeface:** Atkinson Hyperlegible</w:t>
      </w:r>
    </w:p>
    <w:p w14:paraId="0AAAC7CD" w14:textId="77777777" w:rsidR="00616B92" w:rsidRDefault="00000000">
      <w:r>
        <w:t>**Purpose:** Maximum legibility for critical UI, labels, and high‑contrast environments.</w:t>
      </w:r>
    </w:p>
    <w:p w14:paraId="54BFC93B" w14:textId="77777777" w:rsidR="00616B92" w:rsidRDefault="00000000">
      <w:pPr>
        <w:pStyle w:val="Heading2"/>
      </w:pPr>
      <w:r>
        <w:t>2.2 Structural Sans</w:t>
      </w:r>
    </w:p>
    <w:p w14:paraId="5C97BA64" w14:textId="77777777" w:rsidR="00616B92" w:rsidRDefault="00000000">
      <w:r>
        <w:t>**Typeface:** Roboto Flex</w:t>
      </w:r>
    </w:p>
    <w:p w14:paraId="43D685FD" w14:textId="77777777" w:rsidR="00616B92" w:rsidRDefault="00000000">
      <w:r>
        <w:t>**Purpose:** Navigation, UI structure, data‑dense components, and system‑level hierarchy.</w:t>
      </w:r>
    </w:p>
    <w:p w14:paraId="17DF17D3" w14:textId="77777777" w:rsidR="00616B92" w:rsidRDefault="00000000">
      <w:pPr>
        <w:pStyle w:val="Heading2"/>
      </w:pPr>
      <w:r>
        <w:t>2.3 Technical Monospace</w:t>
      </w:r>
    </w:p>
    <w:p w14:paraId="64A1B61E" w14:textId="77777777" w:rsidR="00616B92" w:rsidRDefault="00000000">
      <w:r>
        <w:t>**Typeface:** Roboto Mono</w:t>
      </w:r>
    </w:p>
    <w:p w14:paraId="2AD48D25" w14:textId="77777777" w:rsidR="00616B92" w:rsidRDefault="00000000">
      <w:r>
        <w:t>**Purpose:** Coding, terminal environments, and technical documentation requiring monospaced alignment.</w:t>
      </w:r>
    </w:p>
    <w:p w14:paraId="37377BAA" w14:textId="77777777" w:rsidR="00616B92" w:rsidRDefault="00000000">
      <w:pPr>
        <w:pStyle w:val="Heading2"/>
      </w:pPr>
      <w:r>
        <w:t>2.4 Human‑Centered Reading</w:t>
      </w:r>
    </w:p>
    <w:p w14:paraId="668FFD93" w14:textId="77777777" w:rsidR="00616B92" w:rsidRDefault="00000000">
      <w:r>
        <w:t>**Typeface:** Noto Sans / Noto Serif</w:t>
      </w:r>
    </w:p>
    <w:p w14:paraId="3CFFE1EB" w14:textId="77777777" w:rsidR="00616B92" w:rsidRDefault="00000000">
      <w:r>
        <w:t>**Purpose:** Long‑form reading, conversational interfaces, multilingual content, and reflective writing.</w:t>
      </w:r>
    </w:p>
    <w:p w14:paraId="3F8AD554" w14:textId="77777777" w:rsidR="00616B92" w:rsidRDefault="00000000">
      <w:pPr>
        <w:pStyle w:val="Heading1"/>
      </w:pPr>
      <w:r>
        <w:t>3. Design Rationale</w:t>
      </w:r>
    </w:p>
    <w:p w14:paraId="4C26D301" w14:textId="77777777" w:rsidR="00616B92" w:rsidRDefault="00000000">
      <w:pPr>
        <w:pStyle w:val="Heading2"/>
      </w:pPr>
      <w:r>
        <w:t>3.1 Modality Framework</w:t>
      </w:r>
    </w:p>
    <w:p w14:paraId="08799EE4" w14:textId="77777777" w:rsidR="00616B92" w:rsidRDefault="00000000">
      <w:r>
        <w:t>- Execution mode → clarity, precision, structure (Roboto Flex, Roboto Mono, Atkinson Hyperlegible)</w:t>
      </w:r>
    </w:p>
    <w:p w14:paraId="3CD135EB" w14:textId="77777777" w:rsidR="00616B92" w:rsidRDefault="00000000">
      <w:r>
        <w:lastRenderedPageBreak/>
        <w:t>- Interpretation mode → warmth, calm, narrative flow (Noto Sans/Serif)</w:t>
      </w:r>
    </w:p>
    <w:p w14:paraId="410E4ED7" w14:textId="77777777" w:rsidR="00616B92" w:rsidRDefault="00000000">
      <w:pPr>
        <w:pStyle w:val="Heading2"/>
      </w:pPr>
      <w:r>
        <w:t>3.2 Emotional Tone</w:t>
      </w:r>
    </w:p>
    <w:p w14:paraId="5CF3591B" w14:textId="77777777" w:rsidR="00616B92" w:rsidRDefault="00000000">
      <w:r>
        <w:t>Noto introduces warmth and humanism for people‑centric tasks, while Roboto Flex and Atkinson Hyperlegible maintain engineered clarity for system tasks.</w:t>
      </w:r>
    </w:p>
    <w:p w14:paraId="7EAE5A30" w14:textId="77777777" w:rsidR="00616B92" w:rsidRDefault="00000000">
      <w:pPr>
        <w:pStyle w:val="Heading1"/>
      </w:pPr>
      <w:r>
        <w:t>4. Usage Guidelines</w:t>
      </w:r>
    </w:p>
    <w:p w14:paraId="01C6ED89" w14:textId="77777777" w:rsidR="00616B92" w:rsidRDefault="00000000">
      <w:pPr>
        <w:pStyle w:val="Heading2"/>
      </w:pPr>
      <w:r>
        <w:t>4.1 Reading Environments</w:t>
      </w:r>
    </w:p>
    <w:p w14:paraId="47934B41" w14:textId="77777777" w:rsidR="00616B92" w:rsidRDefault="00000000">
      <w:r>
        <w:t>- Noto Serif for long‑form, policy, and narrative content.</w:t>
      </w:r>
    </w:p>
    <w:p w14:paraId="78BAD614" w14:textId="77777777" w:rsidR="00616B92" w:rsidRDefault="00000000">
      <w:r>
        <w:t>- Noto Sans for general reading and multilingual UI text.</w:t>
      </w:r>
    </w:p>
    <w:p w14:paraId="32B3A977" w14:textId="77777777" w:rsidR="00616B92" w:rsidRDefault="00000000">
      <w:pPr>
        <w:pStyle w:val="Heading2"/>
      </w:pPr>
      <w:r>
        <w:t>4.2 Conversational Interfaces</w:t>
      </w:r>
    </w:p>
    <w:p w14:paraId="3178F8CC" w14:textId="77777777" w:rsidR="00616B92" w:rsidRDefault="00000000">
      <w:r>
        <w:t>- Noto Sans for chat bubbles and reflective interactions.</w:t>
      </w:r>
    </w:p>
    <w:p w14:paraId="08ED774A" w14:textId="77777777" w:rsidR="00616B92" w:rsidRDefault="00000000">
      <w:r>
        <w:t>- Atkinson Hyperlegible for system messages and labels.</w:t>
      </w:r>
    </w:p>
    <w:p w14:paraId="190608CF" w14:textId="77777777" w:rsidR="00616B92" w:rsidRDefault="00000000">
      <w:pPr>
        <w:pStyle w:val="Heading2"/>
      </w:pPr>
      <w:r>
        <w:t>4.3 Technical Workflows</w:t>
      </w:r>
    </w:p>
    <w:p w14:paraId="178CA626" w14:textId="77777777" w:rsidR="00616B92" w:rsidRDefault="00000000">
      <w:r>
        <w:t>- Roboto Mono for code, logs, and structured technical content.</w:t>
      </w:r>
    </w:p>
    <w:p w14:paraId="09CEB515" w14:textId="77777777" w:rsidR="00616B92" w:rsidRDefault="00000000">
      <w:r>
        <w:t>- Roboto Flex for UI scaffolding and dense data displays.</w:t>
      </w:r>
    </w:p>
    <w:p w14:paraId="5A059FB9" w14:textId="77777777" w:rsidR="00616B92" w:rsidRDefault="00000000">
      <w:pPr>
        <w:pStyle w:val="Heading2"/>
      </w:pPr>
      <w:r>
        <w:t>4.4 Accessibility‑Critical UI</w:t>
      </w:r>
    </w:p>
    <w:p w14:paraId="24CD65C8" w14:textId="77777777" w:rsidR="00616B92" w:rsidRDefault="00000000">
      <w:r>
        <w:t>- Atkinson Hyperlegible for maximum clarity.</w:t>
      </w:r>
    </w:p>
    <w:p w14:paraId="76C680DF" w14:textId="77777777" w:rsidR="00616B92" w:rsidRDefault="00000000">
      <w:r>
        <w:t>- Roboto Flex for predictable metrics and tunable hierarchy.</w:t>
      </w:r>
    </w:p>
    <w:p w14:paraId="384AD556" w14:textId="77777777" w:rsidR="00616B92" w:rsidRDefault="00000000">
      <w:pPr>
        <w:pStyle w:val="Heading1"/>
      </w:pPr>
      <w:r>
        <w:t>5. Typeface Assignment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16B92" w14:paraId="47D2A19C" w14:textId="77777777">
        <w:tc>
          <w:tcPr>
            <w:tcW w:w="2160" w:type="dxa"/>
          </w:tcPr>
          <w:p w14:paraId="29E7147E" w14:textId="77777777" w:rsidR="00616B92" w:rsidRDefault="00000000">
            <w:r>
              <w:t>Layer</w:t>
            </w:r>
          </w:p>
        </w:tc>
        <w:tc>
          <w:tcPr>
            <w:tcW w:w="2160" w:type="dxa"/>
          </w:tcPr>
          <w:p w14:paraId="2109EDDB" w14:textId="77777777" w:rsidR="00616B92" w:rsidRDefault="00000000">
            <w:r>
              <w:t>Typeface</w:t>
            </w:r>
          </w:p>
        </w:tc>
        <w:tc>
          <w:tcPr>
            <w:tcW w:w="2160" w:type="dxa"/>
          </w:tcPr>
          <w:p w14:paraId="14F6BA5C" w14:textId="77777777" w:rsidR="00616B92" w:rsidRDefault="00000000">
            <w:r>
              <w:t>Primary Use</w:t>
            </w:r>
          </w:p>
        </w:tc>
        <w:tc>
          <w:tcPr>
            <w:tcW w:w="2160" w:type="dxa"/>
          </w:tcPr>
          <w:p w14:paraId="5858200E" w14:textId="77777777" w:rsidR="00616B92" w:rsidRDefault="00000000">
            <w:r>
              <w:t>Notes</w:t>
            </w:r>
          </w:p>
        </w:tc>
      </w:tr>
      <w:tr w:rsidR="00616B92" w14:paraId="65DBA9F7" w14:textId="77777777">
        <w:tc>
          <w:tcPr>
            <w:tcW w:w="2160" w:type="dxa"/>
          </w:tcPr>
          <w:p w14:paraId="768EC66B" w14:textId="77777777" w:rsidR="00616B92" w:rsidRDefault="00000000">
            <w:r>
              <w:t>System / Structure</w:t>
            </w:r>
          </w:p>
        </w:tc>
        <w:tc>
          <w:tcPr>
            <w:tcW w:w="2160" w:type="dxa"/>
          </w:tcPr>
          <w:p w14:paraId="5E5EF486" w14:textId="77777777" w:rsidR="00616B92" w:rsidRDefault="00000000">
            <w:r>
              <w:t>Roboto Flex</w:t>
            </w:r>
          </w:p>
        </w:tc>
        <w:tc>
          <w:tcPr>
            <w:tcW w:w="2160" w:type="dxa"/>
          </w:tcPr>
          <w:p w14:paraId="7BD7AA0B" w14:textId="77777777" w:rsidR="00616B92" w:rsidRDefault="00000000">
            <w:r>
              <w:t>Navigation, labels, UI</w:t>
            </w:r>
          </w:p>
        </w:tc>
        <w:tc>
          <w:tcPr>
            <w:tcW w:w="2160" w:type="dxa"/>
          </w:tcPr>
          <w:p w14:paraId="1BA36162" w14:textId="77777777" w:rsidR="00616B92" w:rsidRDefault="00000000">
            <w:r>
              <w:t>Tunable, precise, engineered clarity</w:t>
            </w:r>
          </w:p>
        </w:tc>
      </w:tr>
      <w:tr w:rsidR="00616B92" w14:paraId="2990573F" w14:textId="77777777">
        <w:tc>
          <w:tcPr>
            <w:tcW w:w="2160" w:type="dxa"/>
          </w:tcPr>
          <w:p w14:paraId="37145FDE" w14:textId="77777777" w:rsidR="00616B92" w:rsidRDefault="00000000">
            <w:r>
              <w:t>Code / Technical</w:t>
            </w:r>
          </w:p>
        </w:tc>
        <w:tc>
          <w:tcPr>
            <w:tcW w:w="2160" w:type="dxa"/>
          </w:tcPr>
          <w:p w14:paraId="23AE9A26" w14:textId="77777777" w:rsidR="00616B92" w:rsidRDefault="00000000">
            <w:r>
              <w:t>Roboto Mono</w:t>
            </w:r>
          </w:p>
        </w:tc>
        <w:tc>
          <w:tcPr>
            <w:tcW w:w="2160" w:type="dxa"/>
          </w:tcPr>
          <w:p w14:paraId="7C5C56C1" w14:textId="77777777" w:rsidR="00616B92" w:rsidRDefault="00000000">
            <w:r>
              <w:t>Editors, terminals</w:t>
            </w:r>
          </w:p>
        </w:tc>
        <w:tc>
          <w:tcPr>
            <w:tcW w:w="2160" w:type="dxa"/>
          </w:tcPr>
          <w:p w14:paraId="7D7917BB" w14:textId="77777777" w:rsidR="00616B92" w:rsidRDefault="00000000">
            <w:r>
              <w:t>Cohesive with Flex; excellent readability</w:t>
            </w:r>
          </w:p>
        </w:tc>
      </w:tr>
      <w:tr w:rsidR="00616B92" w14:paraId="7A0BEE1F" w14:textId="77777777">
        <w:tc>
          <w:tcPr>
            <w:tcW w:w="2160" w:type="dxa"/>
          </w:tcPr>
          <w:p w14:paraId="216FDE89" w14:textId="77777777" w:rsidR="00616B92" w:rsidRDefault="00000000">
            <w:r>
              <w:t>Accessibility Anchor</w:t>
            </w:r>
          </w:p>
        </w:tc>
        <w:tc>
          <w:tcPr>
            <w:tcW w:w="2160" w:type="dxa"/>
          </w:tcPr>
          <w:p w14:paraId="5BB8EEA8" w14:textId="77777777" w:rsidR="00616B92" w:rsidRDefault="00000000">
            <w:r>
              <w:t>Atkinson Hyperlegible</w:t>
            </w:r>
          </w:p>
        </w:tc>
        <w:tc>
          <w:tcPr>
            <w:tcW w:w="2160" w:type="dxa"/>
          </w:tcPr>
          <w:p w14:paraId="60A88868" w14:textId="77777777" w:rsidR="00616B92" w:rsidRDefault="00000000">
            <w:r>
              <w:t>Critical UI</w:t>
            </w:r>
          </w:p>
        </w:tc>
        <w:tc>
          <w:tcPr>
            <w:tcW w:w="2160" w:type="dxa"/>
          </w:tcPr>
          <w:p w14:paraId="3C85F4C5" w14:textId="77777777" w:rsidR="00616B92" w:rsidRDefault="00000000">
            <w:r>
              <w:t>Maximum legibility</w:t>
            </w:r>
          </w:p>
        </w:tc>
      </w:tr>
      <w:tr w:rsidR="00616B92" w14:paraId="1AD1E344" w14:textId="77777777">
        <w:tc>
          <w:tcPr>
            <w:tcW w:w="2160" w:type="dxa"/>
          </w:tcPr>
          <w:p w14:paraId="36BB232F" w14:textId="77777777" w:rsidR="00616B92" w:rsidRDefault="00000000">
            <w:r>
              <w:t>Human‑Centered Content</w:t>
            </w:r>
          </w:p>
        </w:tc>
        <w:tc>
          <w:tcPr>
            <w:tcW w:w="2160" w:type="dxa"/>
          </w:tcPr>
          <w:p w14:paraId="444188BB" w14:textId="77777777" w:rsidR="00616B92" w:rsidRDefault="00000000">
            <w:r>
              <w:t>Noto Sans / Serif</w:t>
            </w:r>
          </w:p>
        </w:tc>
        <w:tc>
          <w:tcPr>
            <w:tcW w:w="2160" w:type="dxa"/>
          </w:tcPr>
          <w:p w14:paraId="212752CA" w14:textId="77777777" w:rsidR="00616B92" w:rsidRDefault="00000000">
            <w:r>
              <w:t>Reading, conversation</w:t>
            </w:r>
          </w:p>
        </w:tc>
        <w:tc>
          <w:tcPr>
            <w:tcW w:w="2160" w:type="dxa"/>
          </w:tcPr>
          <w:p w14:paraId="7C9FD596" w14:textId="77777777" w:rsidR="00616B92" w:rsidRDefault="00000000">
            <w:r>
              <w:t>Warm, calm, multilingual</w:t>
            </w:r>
          </w:p>
        </w:tc>
      </w:tr>
    </w:tbl>
    <w:p w14:paraId="01086047" w14:textId="77777777" w:rsidR="00616B92" w:rsidRDefault="00000000">
      <w:pPr>
        <w:pStyle w:val="Heading1"/>
      </w:pPr>
      <w:r>
        <w:t>6. Cognitive Ergonomics</w:t>
      </w:r>
    </w:p>
    <w:p w14:paraId="39623C97" w14:textId="77777777" w:rsidR="00616B92" w:rsidRDefault="00000000">
      <w:r>
        <w:t>The system aligns typographic voice with user cognitive state. Structural fonts support task execution; Noto supports interpretation and reflection.</w:t>
      </w:r>
    </w:p>
    <w:p w14:paraId="08BB3A90" w14:textId="77777777" w:rsidR="00616B92" w:rsidRDefault="00000000">
      <w:pPr>
        <w:pStyle w:val="Heading1"/>
      </w:pPr>
      <w:r>
        <w:lastRenderedPageBreak/>
        <w:t>7. System Benefits</w:t>
      </w:r>
    </w:p>
    <w:p w14:paraId="11C24CC1" w14:textId="77777777" w:rsidR="00616B92" w:rsidRDefault="00000000">
      <w:r>
        <w:t>- Supports accessibility and clarity across modalities.</w:t>
      </w:r>
    </w:p>
    <w:p w14:paraId="6607428E" w14:textId="77777777" w:rsidR="00616B92" w:rsidRDefault="00000000">
      <w:r>
        <w:t>- Provides emotional warmth where appropriate.</w:t>
      </w:r>
    </w:p>
    <w:p w14:paraId="3F913580" w14:textId="77777777" w:rsidR="00616B92" w:rsidRDefault="00000000">
      <w:r>
        <w:t>- Scales across Electron apps, documentation, and conversational UIs.</w:t>
      </w:r>
    </w:p>
    <w:p w14:paraId="40BE4944" w14:textId="77777777" w:rsidR="00616B92" w:rsidRDefault="00000000">
      <w:r>
        <w:t>- Maintains coherence across proportional and monospace environments.</w:t>
      </w:r>
    </w:p>
    <w:p w14:paraId="5F0D8068" w14:textId="77777777" w:rsidR="00616B92" w:rsidRDefault="00000000">
      <w:pPr>
        <w:pStyle w:val="Heading1"/>
      </w:pPr>
      <w:r>
        <w:t>8. Alignment with Human‑Centered Design</w:t>
      </w:r>
    </w:p>
    <w:p w14:paraId="2403F34B" w14:textId="77777777" w:rsidR="00616B92" w:rsidRDefault="00000000">
      <w:r>
        <w:t>The system respects user agency, supports cognitive ergonomics, and adapts to context. Typography behaves as a collaborative element rather than a static asset.</w:t>
      </w:r>
    </w:p>
    <w:p w14:paraId="46995219" w14:textId="77777777" w:rsidR="00616B92" w:rsidRDefault="00000000">
      <w:pPr>
        <w:pStyle w:val="Heading1"/>
      </w:pPr>
      <w:r>
        <w:t>9. Decision Logic for Typeface Selection</w:t>
      </w:r>
    </w:p>
    <w:p w14:paraId="02EF585C" w14:textId="77777777" w:rsidR="00616B92" w:rsidRDefault="00000000">
      <w:r>
        <w:t>This section defines the decision pathway for selecting the appropriate typeface based on user cognitive mode, task type, and content characteristics.</w:t>
      </w:r>
    </w:p>
    <w:p w14:paraId="331D7BA4" w14:textId="77777777" w:rsidR="00616B92" w:rsidRDefault="00000000">
      <w:pPr>
        <w:pStyle w:val="Heading2"/>
      </w:pPr>
      <w:r>
        <w:t>9.1 Cognitive Mode Assessment</w:t>
      </w:r>
    </w:p>
    <w:p w14:paraId="0D1D2198" w14:textId="77777777" w:rsidR="00616B92" w:rsidRDefault="00000000">
      <w:r>
        <w:t>- Execution Mode — task completion, scanning, navigating, coding, interpreting structured data.</w:t>
      </w:r>
    </w:p>
    <w:p w14:paraId="319E74A0" w14:textId="77777777" w:rsidR="00616B92" w:rsidRDefault="00000000">
      <w:r>
        <w:t>- Interpretation Mode — reading, reflecting, conversing, learning, or engaging with narrative content.</w:t>
      </w:r>
    </w:p>
    <w:p w14:paraId="26ECDEA4" w14:textId="77777777" w:rsidR="00616B92" w:rsidRDefault="00000000">
      <w:pPr>
        <w:pStyle w:val="Heading2"/>
      </w:pPr>
      <w:r>
        <w:t>9.2 Execution Mode Typeface Selection</w:t>
      </w:r>
    </w:p>
    <w:p w14:paraId="6825FC1D" w14:textId="77777777" w:rsidR="00616B92" w:rsidRDefault="00000000">
      <w:r>
        <w:t>- UI Structure → Roboto Flex</w:t>
      </w:r>
    </w:p>
    <w:p w14:paraId="1445C9C4" w14:textId="77777777" w:rsidR="00616B92" w:rsidRDefault="00000000">
      <w:r>
        <w:t>- Technical or Monospaced Content → Roboto Mono</w:t>
      </w:r>
    </w:p>
    <w:p w14:paraId="545A26E3" w14:textId="77777777" w:rsidR="00616B92" w:rsidRDefault="00000000">
      <w:r>
        <w:t>- Accessibility‑Critical UI → Atkinson Hyperlegible</w:t>
      </w:r>
    </w:p>
    <w:p w14:paraId="2192C5A2" w14:textId="77777777" w:rsidR="00616B92" w:rsidRDefault="00000000">
      <w:r>
        <w:t>- Default for ambiguous execution contexts → Roboto Flex</w:t>
      </w:r>
    </w:p>
    <w:p w14:paraId="16B4924C" w14:textId="77777777" w:rsidR="00616B92" w:rsidRDefault="00000000">
      <w:pPr>
        <w:pStyle w:val="Heading2"/>
      </w:pPr>
      <w:r>
        <w:t>9.3 Interpretation Mode Typeface Selection</w:t>
      </w:r>
    </w:p>
    <w:p w14:paraId="285D3B29" w14:textId="77777777" w:rsidR="00616B92" w:rsidRDefault="00000000">
      <w:r>
        <w:t>- Long‑Form or Narrative Content → Noto Serif</w:t>
      </w:r>
    </w:p>
    <w:p w14:paraId="1BB36DA9" w14:textId="77777777" w:rsidR="00616B92" w:rsidRDefault="00000000">
      <w:r>
        <w:t>- Conversational or Multilingual Content → Noto Sans</w:t>
      </w:r>
    </w:p>
    <w:p w14:paraId="4D82B719" w14:textId="77777777" w:rsidR="00616B92" w:rsidRDefault="00000000">
      <w:r>
        <w:t>- Short‑Form Reflective Content → Noto Sans</w:t>
      </w:r>
    </w:p>
    <w:p w14:paraId="2AB71798" w14:textId="77777777" w:rsidR="00616B92" w:rsidRDefault="00000000">
      <w:r>
        <w:t>- Default for ambiguous interpretation contexts → Noto Sans</w:t>
      </w:r>
    </w:p>
    <w:p w14:paraId="4D10F012" w14:textId="77777777" w:rsidR="00616B92" w:rsidRDefault="00000000">
      <w:pPr>
        <w:pStyle w:val="Heading2"/>
      </w:pPr>
      <w:r>
        <w:t>9.4 Decision Tree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2697"/>
        <w:gridCol w:w="1926"/>
        <w:gridCol w:w="2040"/>
      </w:tblGrid>
      <w:tr w:rsidR="00616B92" w14:paraId="107881DD" w14:textId="77777777">
        <w:tc>
          <w:tcPr>
            <w:tcW w:w="2160" w:type="dxa"/>
          </w:tcPr>
          <w:p w14:paraId="1DD6B1D1" w14:textId="77777777" w:rsidR="00616B92" w:rsidRDefault="00000000">
            <w:r>
              <w:t>Decision Point</w:t>
            </w:r>
          </w:p>
        </w:tc>
        <w:tc>
          <w:tcPr>
            <w:tcW w:w="2160" w:type="dxa"/>
          </w:tcPr>
          <w:p w14:paraId="50705925" w14:textId="77777777" w:rsidR="00616B92" w:rsidRDefault="00000000">
            <w:r>
              <w:t>Condition</w:t>
            </w:r>
          </w:p>
        </w:tc>
        <w:tc>
          <w:tcPr>
            <w:tcW w:w="2160" w:type="dxa"/>
          </w:tcPr>
          <w:p w14:paraId="0118BF74" w14:textId="77777777" w:rsidR="00616B92" w:rsidRDefault="00000000">
            <w:r>
              <w:t>Typeface</w:t>
            </w:r>
          </w:p>
        </w:tc>
        <w:tc>
          <w:tcPr>
            <w:tcW w:w="2160" w:type="dxa"/>
          </w:tcPr>
          <w:p w14:paraId="2D7584E8" w14:textId="77777777" w:rsidR="00616B92" w:rsidRDefault="00000000">
            <w:r>
              <w:t>Rationale</w:t>
            </w:r>
          </w:p>
        </w:tc>
      </w:tr>
      <w:tr w:rsidR="00616B92" w14:paraId="2A4480F7" w14:textId="77777777">
        <w:tc>
          <w:tcPr>
            <w:tcW w:w="2160" w:type="dxa"/>
          </w:tcPr>
          <w:p w14:paraId="7A1AC87F" w14:textId="77777777" w:rsidR="00616B92" w:rsidRDefault="00000000">
            <w:r>
              <w:t>Execution Mode</w:t>
            </w:r>
          </w:p>
        </w:tc>
        <w:tc>
          <w:tcPr>
            <w:tcW w:w="2160" w:type="dxa"/>
          </w:tcPr>
          <w:p w14:paraId="708AA416" w14:textId="77777777" w:rsidR="00616B92" w:rsidRDefault="00000000">
            <w:r>
              <w:t>UI structure</w:t>
            </w:r>
          </w:p>
        </w:tc>
        <w:tc>
          <w:tcPr>
            <w:tcW w:w="2160" w:type="dxa"/>
          </w:tcPr>
          <w:p w14:paraId="11C5D076" w14:textId="77777777" w:rsidR="00616B92" w:rsidRDefault="00000000">
            <w:r>
              <w:t>Roboto Flex</w:t>
            </w:r>
          </w:p>
        </w:tc>
        <w:tc>
          <w:tcPr>
            <w:tcW w:w="2160" w:type="dxa"/>
          </w:tcPr>
          <w:p w14:paraId="6CDB0B11" w14:textId="77777777" w:rsidR="00616B92" w:rsidRDefault="00000000">
            <w:r>
              <w:t xml:space="preserve">Structural clarity and </w:t>
            </w:r>
            <w:r>
              <w:lastRenderedPageBreak/>
              <w:t>tunability</w:t>
            </w:r>
          </w:p>
        </w:tc>
      </w:tr>
      <w:tr w:rsidR="00616B92" w14:paraId="6293E5CF" w14:textId="77777777">
        <w:tc>
          <w:tcPr>
            <w:tcW w:w="2160" w:type="dxa"/>
          </w:tcPr>
          <w:p w14:paraId="21144BE3" w14:textId="77777777" w:rsidR="00616B92" w:rsidRDefault="00000000">
            <w:r>
              <w:lastRenderedPageBreak/>
              <w:t>Execution Mode</w:t>
            </w:r>
          </w:p>
        </w:tc>
        <w:tc>
          <w:tcPr>
            <w:tcW w:w="2160" w:type="dxa"/>
          </w:tcPr>
          <w:p w14:paraId="22B01A3C" w14:textId="77777777" w:rsidR="00616B92" w:rsidRDefault="00000000">
            <w:r>
              <w:t>Code/technical</w:t>
            </w:r>
          </w:p>
        </w:tc>
        <w:tc>
          <w:tcPr>
            <w:tcW w:w="2160" w:type="dxa"/>
          </w:tcPr>
          <w:p w14:paraId="58EB304F" w14:textId="77777777" w:rsidR="00616B92" w:rsidRDefault="00000000">
            <w:r>
              <w:t>Roboto Mono</w:t>
            </w:r>
          </w:p>
        </w:tc>
        <w:tc>
          <w:tcPr>
            <w:tcW w:w="2160" w:type="dxa"/>
          </w:tcPr>
          <w:p w14:paraId="51A92F99" w14:textId="77777777" w:rsidR="00616B92" w:rsidRDefault="00000000">
            <w:r>
              <w:t>Monospaced alignment and readability</w:t>
            </w:r>
          </w:p>
        </w:tc>
      </w:tr>
      <w:tr w:rsidR="00616B92" w14:paraId="12C434C5" w14:textId="77777777">
        <w:tc>
          <w:tcPr>
            <w:tcW w:w="2160" w:type="dxa"/>
          </w:tcPr>
          <w:p w14:paraId="5EE41F3F" w14:textId="77777777" w:rsidR="00616B92" w:rsidRDefault="00000000">
            <w:r>
              <w:t>Execution Mode</w:t>
            </w:r>
          </w:p>
        </w:tc>
        <w:tc>
          <w:tcPr>
            <w:tcW w:w="2160" w:type="dxa"/>
          </w:tcPr>
          <w:p w14:paraId="708FA70D" w14:textId="77777777" w:rsidR="00616B92" w:rsidRDefault="00000000">
            <w:r>
              <w:t>Accessibility‑critical</w:t>
            </w:r>
          </w:p>
        </w:tc>
        <w:tc>
          <w:tcPr>
            <w:tcW w:w="2160" w:type="dxa"/>
          </w:tcPr>
          <w:p w14:paraId="52087E87" w14:textId="77777777" w:rsidR="00616B92" w:rsidRDefault="00000000">
            <w:r>
              <w:t>Atkinson Hyperlegible</w:t>
            </w:r>
          </w:p>
        </w:tc>
        <w:tc>
          <w:tcPr>
            <w:tcW w:w="2160" w:type="dxa"/>
          </w:tcPr>
          <w:p w14:paraId="2AEAF4F5" w14:textId="77777777" w:rsidR="00616B92" w:rsidRDefault="00000000">
            <w:r>
              <w:t>Maximum legibility</w:t>
            </w:r>
          </w:p>
        </w:tc>
      </w:tr>
      <w:tr w:rsidR="00616B92" w14:paraId="4E393E11" w14:textId="77777777">
        <w:tc>
          <w:tcPr>
            <w:tcW w:w="2160" w:type="dxa"/>
          </w:tcPr>
          <w:p w14:paraId="0C293446" w14:textId="77777777" w:rsidR="00616B92" w:rsidRDefault="00000000">
            <w:r>
              <w:t>Interpretation Mode</w:t>
            </w:r>
          </w:p>
        </w:tc>
        <w:tc>
          <w:tcPr>
            <w:tcW w:w="2160" w:type="dxa"/>
          </w:tcPr>
          <w:p w14:paraId="23C71894" w14:textId="77777777" w:rsidR="00616B92" w:rsidRDefault="00000000">
            <w:r>
              <w:t>Long‑form</w:t>
            </w:r>
          </w:p>
        </w:tc>
        <w:tc>
          <w:tcPr>
            <w:tcW w:w="2160" w:type="dxa"/>
          </w:tcPr>
          <w:p w14:paraId="2806B39E" w14:textId="77777777" w:rsidR="00616B92" w:rsidRDefault="00000000">
            <w:r>
              <w:t>Noto Serif</w:t>
            </w:r>
          </w:p>
        </w:tc>
        <w:tc>
          <w:tcPr>
            <w:tcW w:w="2160" w:type="dxa"/>
          </w:tcPr>
          <w:p w14:paraId="242583AD" w14:textId="77777777" w:rsidR="00616B92" w:rsidRDefault="00000000">
            <w:r>
              <w:t>Warm, narrative reading texture</w:t>
            </w:r>
          </w:p>
        </w:tc>
      </w:tr>
      <w:tr w:rsidR="00616B92" w14:paraId="6E52A66C" w14:textId="77777777">
        <w:tc>
          <w:tcPr>
            <w:tcW w:w="2160" w:type="dxa"/>
          </w:tcPr>
          <w:p w14:paraId="050EF130" w14:textId="77777777" w:rsidR="00616B92" w:rsidRDefault="00000000">
            <w:r>
              <w:t>Interpretation Mode</w:t>
            </w:r>
          </w:p>
        </w:tc>
        <w:tc>
          <w:tcPr>
            <w:tcW w:w="2160" w:type="dxa"/>
          </w:tcPr>
          <w:p w14:paraId="29477E34" w14:textId="77777777" w:rsidR="00616B92" w:rsidRDefault="00000000">
            <w:r>
              <w:t>Conversational/multilingual</w:t>
            </w:r>
          </w:p>
        </w:tc>
        <w:tc>
          <w:tcPr>
            <w:tcW w:w="2160" w:type="dxa"/>
          </w:tcPr>
          <w:p w14:paraId="36C15A79" w14:textId="77777777" w:rsidR="00616B92" w:rsidRDefault="00000000">
            <w:r>
              <w:t>Noto Sans</w:t>
            </w:r>
          </w:p>
        </w:tc>
        <w:tc>
          <w:tcPr>
            <w:tcW w:w="2160" w:type="dxa"/>
          </w:tcPr>
          <w:p w14:paraId="32B895AC" w14:textId="77777777" w:rsidR="00616B92" w:rsidRDefault="00000000">
            <w:r>
              <w:t>Human‑centered and low‑friction</w:t>
            </w:r>
          </w:p>
        </w:tc>
      </w:tr>
      <w:tr w:rsidR="00616B92" w14:paraId="2986C987" w14:textId="77777777">
        <w:tc>
          <w:tcPr>
            <w:tcW w:w="2160" w:type="dxa"/>
          </w:tcPr>
          <w:p w14:paraId="73C76D40" w14:textId="77777777" w:rsidR="00616B92" w:rsidRDefault="00000000">
            <w:r>
              <w:t>Interpretation Mode</w:t>
            </w:r>
          </w:p>
        </w:tc>
        <w:tc>
          <w:tcPr>
            <w:tcW w:w="2160" w:type="dxa"/>
          </w:tcPr>
          <w:p w14:paraId="44B71F5E" w14:textId="77777777" w:rsidR="00616B92" w:rsidRDefault="00000000">
            <w:r>
              <w:t>Short‑form reflective</w:t>
            </w:r>
          </w:p>
        </w:tc>
        <w:tc>
          <w:tcPr>
            <w:tcW w:w="2160" w:type="dxa"/>
          </w:tcPr>
          <w:p w14:paraId="403B4160" w14:textId="77777777" w:rsidR="00616B92" w:rsidRDefault="00000000">
            <w:r>
              <w:t>Noto Sans</w:t>
            </w:r>
          </w:p>
        </w:tc>
        <w:tc>
          <w:tcPr>
            <w:tcW w:w="2160" w:type="dxa"/>
          </w:tcPr>
          <w:p w14:paraId="3C47CCC1" w14:textId="77777777" w:rsidR="00616B92" w:rsidRDefault="00000000">
            <w:r>
              <w:t>Soft, approachable tone</w:t>
            </w:r>
          </w:p>
        </w:tc>
      </w:tr>
    </w:tbl>
    <w:p w14:paraId="32EE0979" w14:textId="77777777" w:rsidR="00616B92" w:rsidRDefault="00000000">
      <w:pPr>
        <w:pStyle w:val="Heading2"/>
      </w:pPr>
      <w:r>
        <w:t>9.5 System Behavior</w:t>
      </w:r>
    </w:p>
    <w:p w14:paraId="70EE4118" w14:textId="77777777" w:rsidR="00616B92" w:rsidRDefault="00000000">
      <w:r>
        <w:t>- Execution Mode → structural clarity, precision, and predictability.</w:t>
      </w:r>
    </w:p>
    <w:p w14:paraId="7F442343" w14:textId="77777777" w:rsidR="00616B92" w:rsidRDefault="00000000">
      <w:r>
        <w:t>- Interpretation Mode → warmth, calmness, and narrative flow.</w:t>
      </w:r>
    </w:p>
    <w:sectPr w:rsidR="00616B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997861">
    <w:abstractNumId w:val="8"/>
  </w:num>
  <w:num w:numId="2" w16cid:durableId="1852064877">
    <w:abstractNumId w:val="6"/>
  </w:num>
  <w:num w:numId="3" w16cid:durableId="605386166">
    <w:abstractNumId w:val="5"/>
  </w:num>
  <w:num w:numId="4" w16cid:durableId="1027213621">
    <w:abstractNumId w:val="4"/>
  </w:num>
  <w:num w:numId="5" w16cid:durableId="1681807832">
    <w:abstractNumId w:val="7"/>
  </w:num>
  <w:num w:numId="6" w16cid:durableId="309139501">
    <w:abstractNumId w:val="3"/>
  </w:num>
  <w:num w:numId="7" w16cid:durableId="611329348">
    <w:abstractNumId w:val="2"/>
  </w:num>
  <w:num w:numId="8" w16cid:durableId="1135022413">
    <w:abstractNumId w:val="1"/>
  </w:num>
  <w:num w:numId="9" w16cid:durableId="77151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29A"/>
    <w:rsid w:val="00326F90"/>
    <w:rsid w:val="00616B92"/>
    <w:rsid w:val="008978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6B7A8"/>
  <w14:defaultImageDpi w14:val="300"/>
  <w15:docId w15:val="{E09BB15D-F902-482F-B902-FF8779D6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J. Z. Rioflorido</cp:lastModifiedBy>
  <cp:revision>2</cp:revision>
  <dcterms:created xsi:type="dcterms:W3CDTF">2026-03-16T16:00:00Z</dcterms:created>
  <dcterms:modified xsi:type="dcterms:W3CDTF">2026-03-16T16:00:00Z</dcterms:modified>
  <cp:category/>
</cp:coreProperties>
</file>