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fif"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ab/>
        <w:tab/>
        <w:tab/>
        <w:tab/>
      </w:r>
    </w:p>
    <w:p>
      <w:r>
        <w:drawing>
          <wp:inline xmlns:a="http://schemas.openxmlformats.org/drawingml/2006/main" xmlns:pic="http://schemas.openxmlformats.org/drawingml/2006/picture">
            <wp:extent cx="548640" cy="548640"/>
            <wp:docPr id="1" name="Picture 1"/>
            <wp:cNvGraphicFramePr>
              <a:graphicFrameLocks noChangeAspect="1"/>
            </wp:cNvGraphicFramePr>
            <a:graphic>
              <a:graphicData uri="http://schemas.openxmlformats.org/drawingml/2006/picture">
                <pic:pic>
                  <pic:nvPicPr>
                    <pic:cNvPr id="0" name="download.jfif"/>
                    <pic:cNvPicPr/>
                  </pic:nvPicPr>
                  <pic:blipFill>
                    <a:blip r:embed="rId10"/>
                    <a:stretch>
                      <a:fillRect/>
                    </a:stretch>
                  </pic:blipFill>
                  <pic:spPr>
                    <a:xfrm>
                      <a:off x="0" y="0"/>
                      <a:ext cx="548640" cy="548640"/>
                    </a:xfrm>
                    <a:prstGeom prst="rect"/>
                  </pic:spPr>
                </pic:pic>
              </a:graphicData>
            </a:graphic>
          </wp:inline>
        </w:drawing>
      </w:r>
    </w:p>
    <w:p>
      <w:r>
        <w:t>Hello,</w:t>
        <w:br/>
        <w:t xml:space="preserve"> </w:t>
        <w:br/>
      </w:r>
      <w:r>
        <w:t xml:space="preserve">Thank you for your instructions, we've now processed the income request. </w:t>
        <w:br/>
        <w:t xml:space="preserve"> </w:t>
        <w:br/>
      </w:r>
      <w:r>
        <w:t xml:space="preserve">We've made the following payment today, it should show in the target account within 3-5 working days; </w:t>
      </w:r>
    </w:p>
    <w:tbl>
      <w:tblPr>
        <w:tblStyle w:val="ColorfulList"/>
        <w:tblW w:type="auto" w:w="0"/>
        <w:tblLook w:firstColumn="1" w:firstRow="1" w:lastColumn="0" w:lastRow="0" w:noHBand="0" w:noVBand="1" w:val="04A0"/>
      </w:tblPr>
      <w:tblGrid>
        <w:gridCol w:w="4320"/>
        <w:gridCol w:w="4320"/>
      </w:tblGrid>
      <w:tr>
        <w:tc>
          <w:tcPr>
            <w:tcW w:type="dxa" w:w="4320"/>
          </w:tcPr>
          <w:p>
            <w:r>
              <w:t>Details</w:t>
            </w:r>
          </w:p>
        </w:tc>
        <w:tc>
          <w:tcPr>
            <w:tcW w:type="dxa" w:w="4320"/>
          </w:tcPr>
          <w:p>
            <w:r>
              <w:t>Amount</w:t>
            </w:r>
          </w:p>
        </w:tc>
      </w:tr>
      <w:tr>
        <w:tc>
          <w:tcPr>
            <w:tcW w:type="dxa" w:w="4320"/>
          </w:tcPr>
          <w:p>
            <w:r>
              <w:t>Gross Payment</w:t>
            </w:r>
          </w:p>
        </w:tc>
        <w:tc>
          <w:tcPr>
            <w:tcW w:type="dxa" w:w="4320"/>
          </w:tcPr>
          <w:p>
            <w:r>
              <w:t>100</w:t>
            </w:r>
          </w:p>
        </w:tc>
      </w:tr>
      <w:tr>
        <w:tc>
          <w:tcPr>
            <w:tcW w:type="dxa" w:w="4320"/>
          </w:tcPr>
          <w:p>
            <w:r>
              <w:t>Tax Deducted</w:t>
            </w:r>
          </w:p>
        </w:tc>
        <w:tc>
          <w:tcPr>
            <w:tcW w:type="dxa" w:w="4320"/>
          </w:tcPr>
          <w:p>
            <w:r>
              <w:t>200</w:t>
            </w:r>
          </w:p>
        </w:tc>
      </w:tr>
      <w:tr>
        <w:tc>
          <w:tcPr>
            <w:tcW w:type="dxa" w:w="4320"/>
          </w:tcPr>
          <w:p>
            <w:r>
              <w:t>Net Payment</w:t>
            </w:r>
          </w:p>
        </w:tc>
        <w:tc>
          <w:tcPr>
            <w:tcW w:type="dxa" w:w="4320"/>
          </w:tcPr>
          <w:p>
            <w:r>
              <w:t>300</w:t>
            </w:r>
          </w:p>
        </w:tc>
      </w:tr>
    </w:tbl>
    <w:p>
      <w:r>
        <w:br/>
      </w:r>
      <w:r>
        <w:t xml:space="preserve">The income will be subject to tax, and the tax code currently in operation is 200 </w:t>
        <w:br/>
        <w:br/>
      </w:r>
      <w:r>
        <w:t xml:space="preserve">If you have any questions concerning the tax or tax code, please refer to the attached ‘Tax on Income Lump Sums’ document for useful information. Alternatively, contact HM Revenue and Customs on 0300 200 3300, or via their website </w:t>
      </w:r>
      <w:r>
        <w:t>www.hmrc.gov.uk.</w:t>
      </w:r>
      <w:r>
        <w:t xml:space="preserve"> They may ask for our PAYE reference which is 321/XA13246. </w:t>
        <w:br/>
        <w:t xml:space="preserve"> </w:t>
        <w:br/>
      </w:r>
      <w:r>
        <w:t xml:space="preserve">We are able to set up a regular income from your plan which can be paid Monthly, Annually, Half Yearly and Quarterly. We may also be able to set up a regular sale of funds to cover the income payments but we will inform you if we require an instruction to place funds on your account to cover future payments. If you would like to take advantage of this option, please do not hesitate to contact us and we will talk you through what is required </w:t>
        <w:br/>
        <w:br/>
      </w:r>
      <w:r>
        <w:t xml:space="preserve">Attached is an illustration showing how the above changes will effect the plan, by taking this payment the </w:t>
      </w:r>
      <w:r>
        <w:rPr>
          <w:b/>
        </w:rPr>
        <w:t xml:space="preserve">Money Purchase Annual Allowance (MPAA) </w:t>
      </w:r>
      <w:r>
        <w:t xml:space="preserve">rules have been triggered. </w:t>
        <w:br/>
        <w:br/>
      </w:r>
      <w:r>
        <w:t xml:space="preserve">Please find attached a copy of your Risk Warnings based upon the survey completed. Please consider carefully how the money being withdrawn is used, and read the attached ‘Pension Scam’ flyer, on the steps that can be taken to protect the money in the pension. </w:t>
        <w:br/>
        <w:br/>
      </w:r>
      <w:r>
        <w:t xml:space="preserve">If you have any questions, please contact us and we’ll be happy to help! </w:t>
        <w:br/>
      </w:r>
      <w:r>
        <w:br/>
        <w:br/>
      </w:r>
    </w:p>
    <w:p>
      <w:pPr>
        <w:pStyle w:val="Heading1"/>
      </w:pPr>
      <w:r>
        <w:t>Your LV= Drawdown Team</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LV=, Savings &amp; Retirement, Pease House, Tilehouse Street, Hitchin, Herts, SG5 2DX </w:t>
      <w:br/>
      <w:t>LV= and Liverpool Victoria are registered trademarks of Liverpool Victoria Financial Services Limited and LV= and LV= Liverpool Victoria are trading styles of the Liverpool Victoria group of companies. Liverpool Victoria Financial Services Limited, registered in England with registration number 12383237 is authorised by the Prudential Regulation Authority and regulated by the Financial Conduct Authority and the Prudential Regulation Authority, register number 110035. NM Pensions Trustees Limited, (registered in England No. 4299742), acts as scheme trustee. Registered address for both companies: County Gates, Bournemouth, BH1 2NF. Phone: 01202 292333.32453-2020 05/20</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