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AISCR GLOBAL PMO - ISSUES REGISTER</w:t>
      </w:r>
    </w:p>
    <w:p>
      <w:r>
        <w:t>Issues Register Template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Issue ID</w:t>
            </w:r>
          </w:p>
        </w:tc>
        <w:tc>
          <w:tcPr>
            <w:tcW w:type="dxa" w:w="1234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1234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Impact</w:t>
            </w:r>
          </w:p>
        </w:tc>
        <w:tc>
          <w:tcPr>
            <w:tcW w:type="dxa" w:w="1234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1234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Due Date</w:t>
            </w:r>
          </w:p>
        </w:tc>
        <w:tc>
          <w:tcPr>
            <w:tcW w:type="dxa" w:w="1234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1234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</w:tbl>
    <w:p>
      <w:pPr>
        <w:pStyle w:val="IntenseQuote"/>
      </w:pPr>
      <w:r>
        <w:t>Status Options: Open, In Progress, Closed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