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i w:val="0"/>
          <w:color w:val="1F4E79"/>
          <w:sz w:val="72"/>
        </w:rPr>
        <w:t>Julia for HPC</w:t>
      </w:r>
    </w:p>
    <w:p>
      <w:pPr>
        <w:jc w:val="center"/>
      </w:pPr>
      <w:r>
        <w:rPr>
          <w:rFonts w:ascii="Arial" w:hAnsi="Arial"/>
          <w:b/>
          <w:i w:val="0"/>
          <w:color w:val="2E75B6"/>
          <w:sz w:val="44"/>
        </w:rPr>
        <w:t>Student Setup Guide</w:t>
      </w:r>
    </w:p>
    <w:p>
      <w:pPr>
        <w:jc w:val="center"/>
      </w:pPr>
      <w:r>
        <w:rPr>
          <w:rFonts w:ascii="Arial" w:hAnsi="Arial"/>
          <w:b w:val="0"/>
          <w:i w:val="0"/>
          <w:color w:val="666666"/>
          <w:sz w:val="24"/>
        </w:rPr>
        <w:t>WSL • juliaup • Julia • Packages • PDE Solvers • Slurm</w:t>
      </w:r>
    </w:p>
    <w:p/>
    <w:p/>
    <w:p>
      <w:pPr>
        <w:jc w:val="center"/>
      </w:pPr>
      <w:r>
        <w:rPr>
          <w:rFonts w:ascii="Arial" w:hAnsi="Arial"/>
          <w:b w:val="0"/>
          <w:i w:val="0"/>
          <w:color w:val="555555"/>
          <w:sz w:val="22"/>
        </w:rPr>
        <w:t>Author: Course Instructor</w:t>
      </w:r>
    </w:p>
    <w:p>
      <w:pPr>
        <w:jc w:val="center"/>
      </w:pPr>
      <w:r>
        <w:rPr>
          <w:rFonts w:ascii="Arial" w:hAnsi="Arial"/>
          <w:b w:val="0"/>
          <w:i/>
          <w:color w:val="888888"/>
          <w:sz w:val="20"/>
        </w:rPr>
        <w:t>Generated: 2026-05-03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Overview &amp; Prerequisites</w:t>
      </w:r>
    </w:p>
    <w:p>
      <w:r>
        <w:rPr>
          <w:rFonts w:ascii="Arial" w:hAnsi="Arial"/>
          <w:b w:val="0"/>
          <w:i w:val="0"/>
          <w:sz w:val="22"/>
        </w:rPr>
        <w:t>This guide walks you through setting up a complete Julia environment for scientific computing and HPC on Windows. Steps 1–3 install Julia. Step 4 introduces PDE packages. Step 5 walks the full PDE-solving workflow with worked examples for the heat, wave, Poisson, and Navier-Stokes equations and a section on unstructured meshing with Gmsh. Steps 6–8 connect to the HPC cluster.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Time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Estimated 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 — Install WSL2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10–15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2 — juliaup + Julia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5–10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3 — Install Julia Packages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10–15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4 — Learn PDE Packages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15–20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5 — PDE Workflow + Examples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30–60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5.6 — Gmsh: mesh → matrix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15–20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6 — Configure VS Code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5–10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7 — HPC SSH Setup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8 — Submit Slurm Jobs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10–15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~110–175 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1 — Install WSL2</w:t>
      </w:r>
    </w:p>
    <w:p>
      <w:r>
        <w:rPr>
          <w:rFonts w:ascii="Arial" w:hAnsi="Arial"/>
          <w:b w:val="0"/>
          <w:i w:val="0"/>
          <w:sz w:val="22"/>
        </w:rPr>
        <w:t>WSL2 runs a real Linux kernel inside Windows. Open PowerShell as Administrator and run: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wsl --install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Then restart your computer when prompted</w:t>
      </w:r>
    </w:p>
    <w:p>
      <w:r>
        <w:rPr>
          <w:rFonts w:ascii="Arial" w:hAnsi="Arial"/>
          <w:b w:val="0"/>
          <w:i w:val="0"/>
          <w:sz w:val="22"/>
        </w:rPr>
        <w:t>After restart, Ubuntu opens automatically; create a Linux username and password, then update the system: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sudo apt update &amp;&amp; sudo apt upgrade -y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sudo apt install -y curl wget git build-essential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2 — Install juliaup, then Julia</w:t>
      </w:r>
    </w:p>
    <w:p>
      <w:r>
        <w:rPr>
          <w:rFonts w:ascii="Arial" w:hAnsi="Arial"/>
          <w:b w:val="0"/>
          <w:i w:val="0"/>
          <w:sz w:val="22"/>
        </w:rPr>
        <w:t>juliaup is the official Julia version manager — like pyenv for Python or nvm for Node.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2.1  Install juliaup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curl -fsSL https://install.julialang.org | sh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source ~/.bashrc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juliaup --version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2.2  Use juliaup to install Julia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juliaup add release       # latest stable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juliaup default release   # set as default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 --version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juliaup add release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Install latest stable Julia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juliaup add 1.10.4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Install a specific version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juliaup default 1.10.4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Switch the default version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juliaup list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List installed versions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juliaup update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Update everything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3 — Installing Julia Packages</w:t>
      </w:r>
    </w:p>
    <w:p>
      <w:r>
        <w:rPr>
          <w:rFonts w:ascii="Arial" w:hAnsi="Arial"/>
          <w:b w:val="0"/>
          <w:i w:val="0"/>
          <w:sz w:val="22"/>
        </w:rPr>
        <w:t>Julia's package manager (Pkg) is built into the language. Press ] in the REPL to enter package mode.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3.1  Project Environments (best practice)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mkdir -p ~/julia-pde &amp;&amp; cd ~/julia-pde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 --project=.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In package mode (press ]):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(@julia-pde) pkg&gt; add DifferentialEquations Plots SparseArrays</w:t>
      </w:r>
    </w:p>
    <w:p>
      <w:r>
        <w:rPr>
          <w:rFonts w:ascii="Arial" w:hAnsi="Arial"/>
          <w:b w:val="0"/>
          <w:i w:val="0"/>
          <w:sz w:val="22"/>
        </w:rPr>
        <w:t>Julia creates Project.toml and Manifest.toml — commit both to git for full reproducibility on the cluster.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4 — Key Julia Packages for PDE Solving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LinearAlgebra (stdlib)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Dense matrix ops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SparseArrays (stdlib)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Sparse PDE matrices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FFTW.jl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Spectral methods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DifferentialEquations.jl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ODE/PDE solver suite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MethodOfLines.jl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Auto-discretization of PDEs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KrylovKit.jl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GMRES, CG iterative solvers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Gmsh.jl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Unstructured mesh generation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Ferrite.jl / Gridap.jl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Finite element methods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Oceananigans.jl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Production CFD on HPC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Plots.jl / Makie.jl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Visualization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MPI.jl / CUDA.jl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HPC parallelism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5 — The PDE Solving Workflow</w:t>
      </w:r>
    </w:p>
    <w:p>
      <w:r>
        <w:rPr>
          <w:rFonts w:ascii="Arial" w:hAnsi="Arial"/>
          <w:b w:val="0"/>
          <w:i w:val="0"/>
          <w:sz w:val="22"/>
        </w:rPr>
        <w:t>Solving any PDE follows the same five-stage pipeline. Errors at early stages cascade through everything that follows.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82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1. The five-stage PDE-solving pipeline.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5.1  Stage 1 — The Mathematical Model</w:t>
      </w:r>
    </w:p>
    <w:p>
      <w:r>
        <w:rPr>
          <w:rFonts w:ascii="Arial" w:hAnsi="Arial"/>
          <w:b w:val="0"/>
          <w:i w:val="0"/>
          <w:sz w:val="22"/>
        </w:rPr>
        <w:t>Every complete PDE problem has four parts: the equation, the domain, boundary conditions, and (for time-dependent problems) initial conditions.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e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2. Four major PDE families.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5.2  Stage 2 — Discretization</w:t>
      </w:r>
    </w:p>
    <w:p>
      <w:r>
        <w:rPr>
          <w:rFonts w:ascii="Arial" w:hAnsi="Arial"/>
          <w:b w:val="0"/>
          <w:i w:val="0"/>
          <w:sz w:val="22"/>
        </w:rPr>
        <w:t>Replace continuous derivatives with finite-difference stencils: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2nd derivative (central, 2nd-order):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  d²u/dx² ≈ ( u[i+1] - 2u[i] + u[i-1] ) / h²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2D Laplacian (5-point stencil):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  ∇²u ≈ ( u[i+1,j]+u[i-1,j]+u[i,j+1]+u[i,j-1]-4u[i,j] ) / h²</w:t>
      </w:r>
    </w:p>
    <w:p>
      <w:r>
        <w:rPr>
          <w:rFonts w:ascii="Arial" w:hAnsi="Arial"/>
          <w:b w:val="0"/>
          <w:i w:val="0"/>
          <w:sz w:val="22"/>
        </w:rPr>
        <w:t>CFL stability for explicit schemes: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Heat (1D, explicit Euler): dt ≤ dx² / (2α)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Wave (1D):                  dt ≤ dx / c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5.3  Stage 3 — Build the System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using SparseArrays, LinearAlgebra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function laplacian_2d(N, h)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e   = ones(N)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L1D = spdiagm(0 =&gt; -2*e, 1 =&gt; e[1:end-1], -1 =&gt; e[1:end-1])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I_N = sparse(I, N, N)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return (kron(I_N, L1D) + kron(L1D, I_N)) / h^2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end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5.4  Stage 4 — Choose &amp; Run a Solver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Solver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Elliptic, N &lt; 10⁴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u = A \ b (sparse direct)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Elliptic, large symmetric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CG (IterativeSolvers.jl)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Elliptic, large non-sym.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GMRES + ILU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Parabolic, small 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Explicit Euler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Parabolic, stiff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Crank-Nicolson / Rosenbrock23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Hyperbolic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Leap-frog / Tsit5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Navier-Stokes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Oceananigans.jl / projection</w:t>
            </w:r>
          </w:p>
        </w:tc>
      </w:tr>
    </w:tbl>
    <w:p>
      <w:pPr>
        <w:pStyle w:val="Heading3"/>
      </w:pPr>
      <w:r>
        <w:rPr>
          <w:rFonts w:ascii="Arial" w:hAnsi="Arial"/>
          <w:b/>
          <w:color w:val="444444"/>
          <w:sz w:val="24"/>
        </w:rPr>
        <w:t>Example A — Heat Equation (parabolic)</w:t>
      </w:r>
    </w:p>
    <w:p>
      <w:r>
        <w:rPr>
          <w:rFonts w:ascii="Arial" w:hAnsi="Arial"/>
          <w:b w:val="0"/>
          <w:i w:val="0"/>
          <w:sz w:val="22"/>
        </w:rPr>
        <w:t>Parameters: N=200, α=0.010, L=1.0, T=1.0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7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eq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3. Heat equation: pulse diffuses and smooths over time.</w:t>
      </w:r>
    </w:p>
    <w:p>
      <w:r>
        <w:br w:type="page"/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Example B — Wave Equation (hyperbolic)</w:t>
      </w:r>
    </w:p>
    <w:p>
      <w:r>
        <w:rPr>
          <w:rFonts w:ascii="Arial" w:hAnsi="Arial"/>
          <w:b w:val="0"/>
          <w:i w:val="0"/>
          <w:sz w:val="22"/>
        </w:rPr>
        <w:t>Parameters: N=300, c=1.0, L=1.0, T=1.5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7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eq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4. Wave equation: pluck splits and reflects off boundaries.</w:t>
      </w:r>
    </w:p>
    <w:p>
      <w:r>
        <w:br w:type="page"/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Example C — Poisson Equation (elliptic)</w:t>
      </w:r>
    </w:p>
    <w:p>
      <w:r>
        <w:rPr>
          <w:rFonts w:ascii="Arial" w:hAnsi="Arial"/>
          <w:b w:val="0"/>
          <w:i w:val="0"/>
          <w:sz w:val="22"/>
        </w:rPr>
        <w:t>Parameters: N=50 (interior), L=1.0, single sparse direct solve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sson_eq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5. Poisson equation: source f → solution u, no time evolution.</w:t>
      </w:r>
    </w:p>
    <w:p>
      <w:r>
        <w:br w:type="page"/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Example D — Navier-Stokes (the hard one)</w:t>
      </w:r>
    </w:p>
    <w:p>
      <w:r>
        <w:rPr>
          <w:rFonts w:ascii="Arial" w:hAnsi="Arial"/>
          <w:b w:val="0"/>
          <w:i w:val="0"/>
          <w:sz w:val="22"/>
        </w:rPr>
        <w:t>The Navier-Stokes equations describe how fluids flow. They are nonlinear, couple velocity and pressure, and admit turbulent solutions at high Reynolds numbers.</w:t>
      </w:r>
    </w:p>
    <w:p>
      <w:r>
        <w:rPr>
          <w:rFonts w:ascii="Arial" w:hAnsi="Arial"/>
          <w:b w:val="0"/>
          <w:i w:val="0"/>
          <w:sz w:val="22"/>
        </w:rPr>
        <w:t>Equations (incompressible):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∂u/∂t + (u·∇)u  =  -∇p/ρ + ν∇²u + g     ← momentum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∇·u           =  0                       ← incompressibility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∂u/∂t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Local acceleration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(u·∇)u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Convective acceleration (nonlinear!)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-∇p/ρ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Pressure gradient force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ν∇²u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Viscous diffusion (friction)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∇·u = 0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Mass conservation / incompressibility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er_stok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6. Lid-driven cavity at Re=100. Lid drives a primary vortex.</w:t>
      </w:r>
    </w:p>
    <w:p>
      <w:r>
        <w:rPr>
          <w:rFonts w:ascii="Arial" w:hAnsi="Arial"/>
          <w:b w:val="0"/>
          <w:i w:val="0"/>
          <w:sz w:val="22"/>
        </w:rPr>
        <w:t>Why it's hard:</w:t>
      </w:r>
    </w:p>
    <w:p>
      <w:pPr>
        <w:pStyle w:val="ListBullet"/>
      </w:pPr>
      <w:r>
        <w:rPr>
          <w:rFonts w:ascii="Arial" w:hAnsi="Arial"/>
          <w:sz w:val="22"/>
        </w:rPr>
        <w:t>Nonlinear convective term (u·∇)u — no linear superposition.</w:t>
      </w:r>
    </w:p>
    <w:p>
      <w:pPr>
        <w:pStyle w:val="ListBullet"/>
      </w:pPr>
      <w:r>
        <w:rPr>
          <w:rFonts w:ascii="Arial" w:hAnsi="Arial"/>
          <w:sz w:val="22"/>
        </w:rPr>
        <w:t>Velocity-pressure coupling — pressure has no time derivative; must enforce ∇·u = 0 via projection methods.</w:t>
      </w:r>
    </w:p>
    <w:p>
      <w:pPr>
        <w:pStyle w:val="ListBullet"/>
      </w:pPr>
      <w:r>
        <w:rPr>
          <w:rFonts w:ascii="Arial" w:hAnsi="Arial"/>
          <w:sz w:val="22"/>
        </w:rPr>
        <w:t>Turbulence at high Re requires very fine grids or RANS/LES/DNS.</w:t>
      </w:r>
    </w:p>
    <w:p>
      <w:pPr>
        <w:pStyle w:val="ListBullet"/>
      </w:pPr>
      <w:r>
        <w:rPr>
          <w:rFonts w:ascii="Arial" w:hAnsi="Arial"/>
          <w:sz w:val="22"/>
        </w:rPr>
        <w:t>Millennium Prize problem — smoothness in 3D is unproven!</w:t>
      </w:r>
    </w:p>
    <w:p>
      <w:r>
        <w:rPr>
          <w:rFonts w:ascii="Arial" w:hAnsi="Arial"/>
          <w:b w:val="0"/>
          <w:i w:val="0"/>
          <w:sz w:val="22"/>
        </w:rPr>
        <w:t>Recommended: use Oceananigans.jl for HPC fluid simulations — it is Slurm + MPI + GPU ready out of the box.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5.5  Stage 5 — Visualize &amp; Verify</w:t>
      </w:r>
    </w:p>
    <w:p>
      <w:r>
        <w:rPr>
          <w:rFonts w:ascii="Arial" w:hAnsi="Arial"/>
          <w:b w:val="0"/>
          <w:i w:val="0"/>
          <w:sz w:val="22"/>
        </w:rPr>
        <w:t>Three levels of checks every PDE solver should pass:</w:t>
      </w:r>
    </w:p>
    <w:p>
      <w:pPr>
        <w:pStyle w:val="ListBullet"/>
      </w:pPr>
      <w:r>
        <w:rPr>
          <w:rFonts w:ascii="Arial" w:hAnsi="Arial"/>
          <w:sz w:val="22"/>
        </w:rPr>
        <w:t>Sanity: plot the solution; check BCs are satisfied.</w:t>
      </w:r>
    </w:p>
    <w:p>
      <w:pPr>
        <w:pStyle w:val="ListBullet"/>
      </w:pPr>
      <w:r>
        <w:rPr>
          <w:rFonts w:ascii="Arial" w:hAnsi="Arial"/>
          <w:sz w:val="22"/>
        </w:rPr>
        <w:t>Convergence study: refine grid, check error scales as O(h²).</w:t>
      </w:r>
    </w:p>
    <w:p>
      <w:pPr>
        <w:pStyle w:val="ListBullet"/>
      </w:pPr>
      <w:r>
        <w:rPr>
          <w:rFonts w:ascii="Arial" w:hAnsi="Arial"/>
          <w:sz w:val="22"/>
        </w:rPr>
        <w:t>Physical validation: compare against analytical solution or benchmark.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78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stu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7. Left: Poisson L∞ error vs grid spacing h on a log-log scale — the slope confirms 2nd-order convergence. Right: solve time scales near-linearly in N² (sparse direct solver).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5.6  Beyond Structured Grids — Meshing with Gmsh</w:t>
      </w:r>
    </w:p>
    <w:p>
      <w:r>
        <w:rPr>
          <w:rFonts w:ascii="Arial" w:hAnsi="Arial"/>
          <w:b w:val="0"/>
          <w:i w:val="0"/>
          <w:sz w:val="22"/>
        </w:rPr>
        <w:t>Finite-difference grids work for rectangles. Real geometry — L-shapes, airfoils, brain MRI, machine parts — needs unstructured meshes. Gmsh is the de-facto open-source mesher; the Julia bindings live in Gmsh.jl. The workflow has three parts: (1) describe the geometry, (2) let Gmsh triangulate it, (3) read the node coordinates and element connectivity back into Julia and assemble a sparse matrix.</w:t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Install Gmsh.jl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In package mode (press ]):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(@julia-pde) pkg&gt; add Gmsh</w:t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Generate a 2D triangular mesh of the unit square</w:t>
      </w:r>
    </w:p>
    <w:p>
      <w:r>
        <w:rPr>
          <w:rFonts w:ascii="Arial" w:hAnsi="Arial"/>
          <w:b w:val="0"/>
          <w:i w:val="0"/>
          <w:sz w:val="22"/>
        </w:rPr>
        <w:t>This is the exact code that produced Figure 8 — running the lecture script reproduces the same mesh on the student's machine, byte-for-byte.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using Gmsh: gmsh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using SparseArrays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function gmsh_unit_square(; lc::Float64 = 0.5)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gmsh.initialize()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gmsh.option.setNumber("General.Terminal", 0)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gmsh.model.add("unit_square")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# 1. Geometry — corner points of [0,1]×[0,1], target size lc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p1 = gmsh.model.geo.addPoint(0.0, 0.0, 0.0, lc)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p2 = gmsh.model.geo.addPoint(1.0, 0.0, 0.0, lc)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p3 = gmsh.model.geo.addPoint(1.0, 1.0, 0.0, lc)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p4 = gmsh.model.geo.addPoint(0.0, 1.0, 0.0, lc)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# 2. Edges and the surface they bound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l1 = gmsh.model.geo.addLine(p1, p2)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l2 = gmsh.model.geo.addLine(p2, p3)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l3 = gmsh.model.geo.addLine(p3, p4)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l4 = gmsh.model.geo.addLine(p4, p1)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cl = gmsh.model.geo.addCurveLoop([l1, l2, l3, l4])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gmsh.model.geo.addPlaneSurface([cl])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# 3. Synchronise the CAD kernel and triangulate the surface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gmsh.model.geo.synchronize()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gmsh.model.mesh.generate(2)        # 2D ⇒ triangles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# 4. Pull the mesh back into Julia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node_tags, coord, _  = gmsh.model.mesh.getNodes()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_, _, elem_node_tags = gmsh.model.mesh.getElements(2)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n_nodes = length(node_tags)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xy      = reshape(coord, 3, n_nodes)[1:2, :]   # drop z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# Gmsh tags can be sparse — remap them to dense 1..n_nodes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tag2idx   = Dict(Int(t) =&gt; i for (i,t) in enumerate(node_tags))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flat_conn = [tag2idx[Int(t)] for t in elem_node_tags[1]]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tri_nodes = reshape(flat_conn, 3, :)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gmsh.finalize()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return xy, tri_nodes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end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xy, tri_nodes = gmsh_unit_square(lc=0.5)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xy        :: 2 × n_nodes  (coordinates of every mesh node)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 tri_nodes :: 3 × n_tri    (column k = global node IDs of triangle k)</w:t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From mesh to sparse matrix — element assembly</w:t>
      </w:r>
    </w:p>
    <w:p>
      <w:r>
        <w:rPr>
          <w:rFonts w:ascii="Arial" w:hAnsi="Arial"/>
          <w:b w:val="0"/>
          <w:i w:val="0"/>
          <w:sz w:val="22"/>
        </w:rPr>
        <w:t>Visit every triangle, and for each pair (a, b) of its three local nodes add the local contribution at the matching global indices. With unit local entries this gives a matrix whose non-zero pattern is identical to a P1 stiffness matrix on the same mesh: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function assemble_adjacency(tri_nodes, n_nodes)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I = Int[]; J = Int[]; V = Float64[]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for k in axes(tri_nodes, 2)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 nodes_k = tri_nodes[:, k]      # 3 global node IDs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 for a in 1:3, b in 1:3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     push!(I, nodes_k[a])       # global row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     push!(J, nodes_k[b])       # global column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     push!(V, 1.0)              # local entry value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    end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end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 xml:space="preserve">    return sparse(I, J, V, n_nodes, n_nodes)  # duplicates auto-summed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end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n_nodes = size(xy, 2)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A = assemble_adjacency(tri_nodes, n_nodes)</w:t>
      </w:r>
    </w:p>
    <w:p>
      <w:r>
        <w:rPr>
          <w:rFonts w:ascii="Arial" w:hAnsi="Arial"/>
          <w:b w:val="0"/>
          <w:i w:val="0"/>
          <w:sz w:val="22"/>
        </w:rPr>
        <w:t>The COO triplets (I, J, V) are the natural output of element assembly; `sparse` automatically sums duplicate (i, j) pairs, which is exactly what "adding contributions from every element touching that node" means. Replace the `1.0` with the entries of a 3×3 local stiffness matrix to get a real FEM Laplacian — the index plumbing is the same.</w:t>
      </w:r>
    </w:p>
    <w:p>
      <w:pPr>
        <w:pStyle w:val="Heading3"/>
      </w:pPr>
      <w:r>
        <w:rPr>
          <w:rFonts w:ascii="Arial" w:hAnsi="Arial"/>
          <w:b/>
          <w:color w:val="444444"/>
          <w:sz w:val="24"/>
        </w:rPr>
        <w:t>How mesh indices and matrix indices line up</w:t>
      </w:r>
    </w:p>
    <w:p>
      <w:r>
        <w:rPr>
          <w:rFonts w:ascii="Arial" w:hAnsi="Arial"/>
          <w:b w:val="0"/>
          <w:i w:val="0"/>
          <w:sz w:val="22"/>
        </w:rPr>
        <w:t>This is the central idea behind FEM/FVM assembly — once it clicks, every other implementation detail follows:</w:t>
      </w:r>
    </w:p>
    <w:p>
      <w:pPr>
        <w:pStyle w:val="ListBullet"/>
      </w:pPr>
      <w:r>
        <w:rPr>
          <w:rFonts w:ascii="Arial" w:hAnsi="Arial"/>
          <w:sz w:val="22"/>
        </w:rPr>
        <w:t>Each mesh node has a unique global index 1..n. That same index is its row (and column) in the matrix A.</w:t>
      </w:r>
    </w:p>
    <w:p>
      <w:pPr>
        <w:pStyle w:val="ListBullet"/>
      </w:pPr>
      <w:r>
        <w:rPr>
          <w:rFonts w:ascii="Arial" w:hAnsi="Arial"/>
          <w:sz w:val="22"/>
        </w:rPr>
        <w:t>Each element carries a small connectivity list. For a P1 triangle that list has three node IDs.</w:t>
      </w:r>
    </w:p>
    <w:p>
      <w:pPr>
        <w:pStyle w:val="ListBullet"/>
      </w:pPr>
      <w:r>
        <w:rPr>
          <w:rFonts w:ascii="Arial" w:hAnsi="Arial"/>
          <w:sz w:val="22"/>
        </w:rPr>
        <w:t>The element produces a small dense local matrix whose rows and columns are labelled by local node order (1, 2, 3).</w:t>
      </w:r>
    </w:p>
    <w:p>
      <w:pPr>
        <w:pStyle w:val="ListBullet"/>
      </w:pPr>
      <w:r>
        <w:rPr>
          <w:rFonts w:ascii="Arial" w:hAnsi="Arial"/>
          <w:sz w:val="22"/>
        </w:rPr>
        <w:t>Local index a maps to global index nodes_k[a], so K_local[a, b] is added into A[nodes_k[a], nodes_k[b]].</w:t>
      </w:r>
    </w:p>
    <w:p>
      <w:pPr>
        <w:pStyle w:val="ListBullet"/>
      </w:pPr>
      <w:r>
        <w:rPr>
          <w:rFonts w:ascii="Arial" w:hAnsi="Arial"/>
          <w:sz w:val="22"/>
        </w:rPr>
        <w:t>If two elements share a node, both contribute to the same row/column of A — A[i, j] is the sum of every element contribution touching the pair (i, j). Mesh edges become off-diagonal non-zeros; mesh nodes become diagonal entries.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77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_to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18"/>
        </w:rPr>
        <w:t>Figure 8. Left: a 9-node, 8-triangle mesh of the unit square. Right: the sparsity pattern of the assembled matrix A. An entry A[i, j] is non-zero iff nodes i and j share at least one triangle. The red rings on the right mark the nine entries contributed by triangle T1 (gold on the left), whose nodes are {1, 2, 5} — those nine entries are A[1,1], A[1,2], A[1,5], A[2,1], A[2,2], A[2,5], A[5,1], A[5,2], A[5,5].</w:t>
      </w:r>
    </w:p>
    <w:p>
      <w:r>
        <w:rPr>
          <w:rFonts w:ascii="Arial" w:hAnsi="Arial"/>
          <w:b w:val="0"/>
          <w:i w:val="0"/>
          <w:sz w:val="22"/>
        </w:rPr>
        <w:t>Practical implications:</w:t>
      </w:r>
    </w:p>
    <w:p>
      <w:pPr>
        <w:pStyle w:val="ListBullet"/>
      </w:pPr>
      <w:r>
        <w:rPr>
          <w:rFonts w:ascii="Arial" w:hAnsi="Arial"/>
          <w:sz w:val="22"/>
        </w:rPr>
        <w:t>Sparsity ≈ average node degree of the mesh — typically 6–8 neighbours in 2D, so A holds ~7n non-zeros instead of n².</w:t>
      </w:r>
    </w:p>
    <w:p>
      <w:pPr>
        <w:pStyle w:val="ListBullet"/>
      </w:pPr>
      <w:r>
        <w:rPr>
          <w:rFonts w:ascii="Arial" w:hAnsi="Arial"/>
          <w:sz w:val="22"/>
        </w:rPr>
        <w:t>Reordering nodes (Cuthill–McKee, METIS) does not change the physics; it relabels the indices and can dramatically reduce fill-in for sparse direct solvers.</w:t>
      </w:r>
    </w:p>
    <w:p>
      <w:pPr>
        <w:pStyle w:val="ListBullet"/>
      </w:pPr>
      <w:r>
        <w:rPr>
          <w:rFonts w:ascii="Arial" w:hAnsi="Arial"/>
          <w:sz w:val="22"/>
        </w:rPr>
        <w:t>Boundary conditions are applied by editing the rows and columns of A whose indices match the boundary node IDs — the same node-to-row mapping is reused.</w:t>
      </w:r>
    </w:p>
    <w:p>
      <w:pPr>
        <w:pStyle w:val="ListBullet"/>
      </w:pPr>
      <w:r>
        <w:rPr>
          <w:rFonts w:ascii="Arial" w:hAnsi="Arial"/>
          <w:sz w:val="22"/>
        </w:rPr>
        <w:t>Higher-order elements (P2, P3, …) add edge/face degrees of freedom; the connectivity table just gets more rows, but the global-DOF-to-matrix-row rule is unchanged.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6 — Configure VS Code for Julia + WSL</w:t>
      </w:r>
    </w:p>
    <w:p>
      <w:r>
        <w:rPr>
          <w:rFonts w:ascii="Arial" w:hAnsi="Arial"/>
          <w:b w:val="0"/>
          <w:i w:val="0"/>
          <w:sz w:val="22"/>
        </w:rPr>
        <w:t>Install these VS Code extensions: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Extension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WSL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Connect VS Code to WSL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Syntax, IntelliSense, REPL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Jupyter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Run notebooks with Julia kernel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Remote — SSH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Connect to HPC cluster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7 — Connect to the HPC Cluster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ssh-keygen -t ed25519 -C "your_email@example.com"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ssh-copy-id user@cluster.example.edu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ssh user@cluster.example.edu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module load julia/1.10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 --version</w:t>
      </w:r>
    </w:p>
    <w:p>
      <w:r>
        <w:rPr>
          <w:rFonts w:ascii="Arial" w:hAnsi="Arial"/>
          <w:b w:val="0"/>
          <w:i w:val="0"/>
          <w:sz w:val="22"/>
        </w:rPr>
        <w:t>Sync your project (Project.toml + Manifest.toml) to the cluster: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rsync -avz ~/julia-pde/ user@cluster:~/julia-pde/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ssh user@cluster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cd ~/julia-pde &amp;&amp; julia --project=. -e 'using Pkg; Pkg.instantiate()'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Step 8 — Submitting Julia PDE Jobs with Slurm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sbatch job.sh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Submit job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squeue -u $USER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Show your jobs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scancel JOBID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Cancel a job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sinfo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Show partitions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sacct -j JOBID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Detailed stats after run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  <w:t>Example heat equation job script: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#!/bin/bash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#SBATCH --job-name=heat_eq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#SBATCH --cpus-per-task=4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#SBATCH --mem=4G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#SBATCH --time=00:30:00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#SBATCH --output=heat_%j.out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module load julia/1.10</w:t>
      </w:r>
    </w:p>
    <w:p>
      <w:pPr>
        <w:ind w:left="360"/>
        <w:shd w:fill="F0F0F0"/>
      </w:pPr>
      <w:r>
        <w:rPr>
          <w:rFonts w:ascii="Courier New" w:hAnsi="Courier New"/>
          <w:color w:val="1A1A1A"/>
          <w:sz w:val="19"/>
        </w:rPr>
        <w:t>julia --threads=4 --project=. heat_equation.jl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36"/>
        </w:rPr>
        <w:t>Troubleshooting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680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wsl --install fails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Run as Admin; restart Windows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julia: command not found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source ~/.bashrc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Pkg precompile is slow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Normal first time; subsequent loads are fast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SSH publickey denied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Re-run ssh-copy-id; ask instructor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Slurm OOM kill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Increase --mem or reduce 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CFL instability (NaN)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Reduce dt; check stability condition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