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13346" cy="2540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13346" cy="254000"/>
                    </a:xfrm>
                    <a:prstGeom prst="rect"/>
                    <a:ln/>
                  </pic:spPr>
                </pic:pic>
              </a:graphicData>
            </a:graphic>
          </wp:inline>
        </w:drawing>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Bioinformatics coding Challenge | rev 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9365234375" w:line="240" w:lineRule="auto"/>
        <w:ind w:left="15.299835205078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Pupil Bio Bioinformatics Scientist Test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99853515625" w:line="240" w:lineRule="auto"/>
        <w:ind w:left="9.6199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63.9501094818115" w:lineRule="auto"/>
        <w:ind w:left="2.419891357421875" w:right="0"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Pupil Bio is seeking a bioinformatician with expertise in biostatistics, data analysis, and next generation sequencing (NGS) pipelines to join our team. The ideal candidate will have a strong  background in analyzing complex datasets, deriving biological insights, and developing robust  pipelines for NGS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6923828125" w:line="266.3932228088379" w:lineRule="auto"/>
        <w:ind w:left="7.69989013671875" w:right="5.545654296875" w:hanging="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present test comprises two challenges designed to evaluate candidates’ technical and  analytical skills: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27197265625" w:line="266.5598487854004" w:lineRule="auto"/>
        <w:ind w:left="723.64013671875" w:right="2.640380859375" w:hanging="339.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Data Analysis and Statistics: Assessing the ability to analyze and interpret complex data,  particularly phased methylation patterns.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264.477481842041" w:lineRule="auto"/>
        <w:ind w:left="727.4800109863281" w:right="1.160888671875" w:hanging="36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NGS Alignment and Mutation Calling: Evaluating proficiency in processing raw  sequencing data, aligning reads to a reference genome, and identifying somatic  mutations.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4228515625" w:line="462.31547355651855" w:lineRule="auto"/>
        <w:ind w:left="5.299835205078125" w:right="60.0207519531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______________________________________________________________________________ Task 1: Data Handling and Statistical Analysis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4345703125" w:line="270.72449684143066" w:lineRule="auto"/>
        <w:ind w:left="8.179931640625" w:right="448.641357421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Assess candidates’ ability to handle complex data and apply statistical methods  effectively.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95556640625" w:line="264.47776794433594" w:lineRule="auto"/>
        <w:ind w:left="8.179931640625" w:right="476.18286132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Background: CpG methylation is an epigenetic marker that varies across tissue types.  However, the methylation status of a single CpG site is unreliable as a biomarker due to  errors introduced by bisulfite sequencing, sampling techniques, and biological variability.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228515625" w:line="264.6023654937744" w:lineRule="auto"/>
        <w:ind w:left="0.4998779296875" w:right="280.361328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Phased Methylation Pattern (PMP) is a unique set of coordinates that includes  the DNA strand (‘f’ for forward (+) or ‘r’ for reverse (-)), the relative positions of three CpG  sites on the same strand (e.g., x:y:z), and their methylation status (e.g., ‘000’ for all  unmethylated or ‘111’ for all methylated). It represents a combined epigenetic signature  across these CpG sites.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768798828125" w:line="266.56002044677734" w:lineRule="auto"/>
        <w:ind w:left="8.179931640625" w:right="654.7412109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Hypothesis: Phased methylation patterns (PMPs) can act as reliable biomarkers to  differentiate tissue types, providing higher specificity compared to individual CpG sites.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6007080078125" w:line="266.56002044677734" w:lineRule="auto"/>
        <w:ind w:left="6.979827880859375" w:right="666.1206054687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The dataset (</w:t>
      </w:r>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Link to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summarizes phased methylation patterns from NGS  results across two tissues. Key columns include: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600830078125" w:line="240" w:lineRule="auto"/>
        <w:ind w:left="373.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Strand: Indicates the DNA strand (‘f’ or ‘r’).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1992797851562"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7200" cy="4572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7200" cy="457200"/>
                    </a:xfrm>
                    <a:prstGeom prst="rect"/>
                    <a:ln/>
                  </pic:spPr>
                </pic:pic>
              </a:graphicData>
            </a:graphic>
          </wp:inline>
        </w:drawing>
      </w:r>
      <w:r w:rsidDel="00000000" w:rsidR="00000000" w:rsidRPr="00000000">
        <w:rPr>
          <w:rFonts w:ascii="Arial" w:cs="Arial" w:eastAsia="Arial" w:hAnsi="Arial"/>
          <w:b w:val="0"/>
          <w:i w:val="0"/>
          <w:smallCaps w:val="0"/>
          <w:strike w:val="0"/>
          <w:color w:val="7f7f7f"/>
          <w:sz w:val="33.333333333333336"/>
          <w:szCs w:val="33.333333333333336"/>
          <w:u w:val="none"/>
          <w:shd w:fill="auto" w:val="clear"/>
          <w:vertAlign w:val="superscript"/>
          <w:rtl w:val="0"/>
        </w:rPr>
        <w:t xml:space="preserve"> Confidential and Proprietary information of Pupil Bio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346" cy="2540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13346" cy="254000"/>
                    </a:xfrm>
                    <a:prstGeom prst="rect"/>
                    <a:ln/>
                  </pic:spPr>
                </pic:pic>
              </a:graphicData>
            </a:graphic>
          </wp:inline>
        </w:drawing>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Bioinformatics coding Challenge | rev 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9365234375" w:line="240" w:lineRule="auto"/>
        <w:ind w:left="373.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CpG Coordinates: Relative positions of three CpG sites (x:y:z).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373.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Methylation Status: Eight possible patterns (‘000’ to ‘111’).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40" w:lineRule="auto"/>
        <w:ind w:left="373.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ID: Unique identifier for each sample.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373.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Replicate: Indicates technical replicates.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373.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Tissue: Tissue type (Tissue #1 or Tissue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9.1398620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2001953125" w:line="240" w:lineRule="auto"/>
        <w:ind w:left="383.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Coverage Analysis (10 points):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262.3960304260254" w:lineRule="auto"/>
        <w:ind w:left="1447.0001220703125" w:right="53.28125" w:hanging="35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Calculate the median and coefficient of variation (CV) for single CpG coverage  in each tissue (5 points).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262.3960304260254" w:lineRule="auto"/>
        <w:ind w:left="1447.0001220703125" w:right="53.28125" w:hanging="358.800048828125"/>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262.3960304260254" w:lineRule="auto"/>
        <w:ind w:left="1447.0001220703125" w:right="53.28125" w:hanging="358.800048828125"/>
        <w:jc w:val="left"/>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Median Coverage: 398.0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262.3960304260254" w:lineRule="auto"/>
        <w:ind w:left="1447.0001220703125" w:right="53.28125" w:hanging="358.800048828125"/>
        <w:jc w:val="left"/>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Mean Coverage: 987.1987111031773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262.3960304260254" w:lineRule="auto"/>
        <w:ind w:left="1447.0001220703125" w:right="53.28125" w:hanging="358.800048828125"/>
        <w:jc w:val="left"/>
        <w:rPr>
          <w:b w:val="1"/>
          <w:sz w:val="24"/>
          <w:szCs w:val="24"/>
        </w:rPr>
      </w:pPr>
      <w:r w:rsidDel="00000000" w:rsidR="00000000" w:rsidRPr="00000000">
        <w:rPr>
          <w:rFonts w:ascii="Courier New" w:cs="Courier New" w:eastAsia="Courier New" w:hAnsi="Courier New"/>
          <w:b w:val="1"/>
          <w:color w:val="1f1f1f"/>
          <w:sz w:val="21"/>
          <w:szCs w:val="21"/>
          <w:highlight w:val="white"/>
          <w:rtl w:val="0"/>
        </w:rPr>
        <w:t xml:space="preserve">Coefficient of Variation: 1.3834182949493619</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8212890625" w:line="262.3960304260254" w:lineRule="auto"/>
        <w:ind w:left="1447.0001220703125" w:right="53.28125" w:hanging="358.800048828125"/>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40" w:lineRule="auto"/>
        <w:ind w:left="1082.9200744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Generate plots summarizing the coverage statistics (5 points).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40" w:lineRule="auto"/>
        <w:ind w:left="1082.9200744628906"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40" w:lineRule="auto"/>
        <w:ind w:left="1082.9200744628906" w:right="0" w:firstLine="0"/>
        <w:jc w:val="left"/>
        <w:rPr>
          <w:sz w:val="24"/>
          <w:szCs w:val="24"/>
        </w:rPr>
      </w:pPr>
      <w:r w:rsidDel="00000000" w:rsidR="00000000" w:rsidRPr="00000000">
        <w:rPr>
          <w:sz w:val="24"/>
          <w:szCs w:val="24"/>
        </w:rPr>
        <w:drawing>
          <wp:inline distB="114300" distT="114300" distL="114300" distR="114300">
            <wp:extent cx="5400675" cy="433387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40" w:lineRule="auto"/>
        <w:ind w:left="1082.9200744628906" w:right="0" w:firstLine="0"/>
        <w:jc w:val="left"/>
        <w:rPr>
          <w:sz w:val="24"/>
          <w:szCs w:val="24"/>
        </w:rPr>
      </w:pPr>
      <w:r w:rsidDel="00000000" w:rsidR="00000000" w:rsidRPr="00000000">
        <w:rPr>
          <w:sz w:val="24"/>
          <w:szCs w:val="24"/>
        </w:rPr>
        <w:drawing>
          <wp:inline distB="114300" distT="114300" distL="114300" distR="114300">
            <wp:extent cx="5610225" cy="43338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02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193359375" w:line="240" w:lineRule="auto"/>
        <w:ind w:left="1082.9200744628906"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366.2800598144531"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Biomarker Identification (20 points):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8603515625" w:line="263.7832832336426" w:lineRule="auto"/>
        <w:ind w:left="1443.64013671875" w:right="62.921142578125" w:hanging="355.4400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Identify PMPs with high specificity for tissue differentiation, minimizing false  positives for Tissue #1 while allowing some false negatives. Use statistical or  machine learning approaches to assign confidence (e.g., p-values) to each PMP  (15 points).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8603515625" w:line="263.7832832336426" w:lineRule="auto"/>
        <w:ind w:left="1443.64013671875" w:right="62.921142578125" w:hanging="355.4400634765625"/>
        <w:jc w:val="left"/>
        <w:rPr>
          <w:sz w:val="24"/>
          <w:szCs w:val="24"/>
        </w:rPr>
      </w:pPr>
      <w:r w:rsidDel="00000000" w:rsidR="00000000" w:rsidRPr="00000000">
        <w:rPr>
          <w:sz w:val="24"/>
          <w:szCs w:val="24"/>
        </w:rPr>
        <w:drawing>
          <wp:inline distB="114300" distT="114300" distL="114300" distR="114300">
            <wp:extent cx="5982031" cy="4140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82031"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8603515625" w:line="263.7832832336426" w:lineRule="auto"/>
        <w:ind w:left="1443.64013671875" w:right="62.921142578125" w:hanging="355.4400634765625"/>
        <w:jc w:val="left"/>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8603515625" w:line="263.7832832336426" w:lineRule="auto"/>
        <w:ind w:left="1443.64013671875" w:right="62.921142578125" w:hanging="355.4400634765625"/>
        <w:jc w:val="left"/>
        <w:rPr>
          <w:sz w:val="24"/>
          <w:szCs w:val="24"/>
        </w:rPr>
      </w:pPr>
      <w:r w:rsidDel="00000000" w:rsidR="00000000" w:rsidRPr="00000000">
        <w:rPr>
          <w:sz w:val="24"/>
          <w:szCs w:val="24"/>
        </w:rPr>
        <w:drawing>
          <wp:inline distB="114300" distT="114300" distL="114300" distR="114300">
            <wp:extent cx="2495550" cy="195262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955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8603515625" w:line="263.7832832336426" w:lineRule="auto"/>
        <w:ind w:left="1443.64013671875" w:right="62.921142578125" w:hanging="355.4400634765625"/>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474609375" w:line="262.7285385131836" w:lineRule="auto"/>
        <w:ind w:left="1443.64013671875" w:right="86.12060546875" w:hanging="360.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Calculate the mean variant read fraction (VRF) for each PMP in both tissues (5 points).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474609375" w:line="262.7285385131836" w:lineRule="auto"/>
        <w:ind w:left="1443.64013671875" w:right="86.12060546875" w:hanging="360.7200622558594"/>
        <w:jc w:val="left"/>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Tissue       VRF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474609375" w:line="262.7285385131836" w:lineRule="auto"/>
        <w:ind w:left="1443.64013671875" w:right="86.12060546875" w:hanging="360.7200622558594"/>
        <w:jc w:val="left"/>
        <w:rPr>
          <w:rFonts w:ascii="Courier New" w:cs="Courier New" w:eastAsia="Courier New" w:hAnsi="Courier New"/>
          <w:b w:val="1"/>
          <w:color w:val="1f1f1f"/>
          <w:sz w:val="21"/>
          <w:szCs w:val="21"/>
          <w:highlight w:val="white"/>
        </w:rPr>
      </w:pPr>
      <w:r w:rsidDel="00000000" w:rsidR="00000000" w:rsidRPr="00000000">
        <w:rPr>
          <w:rFonts w:ascii="Courier New" w:cs="Courier New" w:eastAsia="Courier New" w:hAnsi="Courier New"/>
          <w:b w:val="1"/>
          <w:color w:val="1f1f1f"/>
          <w:sz w:val="21"/>
          <w:szCs w:val="21"/>
          <w:highlight w:val="white"/>
          <w:rtl w:val="0"/>
        </w:rPr>
        <w:t xml:space="preserve">0  cfDNA  0.087612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474609375" w:line="262.7285385131836" w:lineRule="auto"/>
        <w:ind w:left="1443.64013671875" w:right="86.12060546875" w:hanging="360.7200622558594"/>
        <w:jc w:val="left"/>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17724609375" w:line="240" w:lineRule="auto"/>
        <w:ind w:left="37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Address the following questions (20 points):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082.9200744628906" w:right="284.4042968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How does sequencing depth affect specificity confidence? (5 points). </w:t>
      </w:r>
    </w:p>
    <w:p w:rsidR="00000000" w:rsidDel="00000000" w:rsidP="00000000" w:rsidRDefault="00000000" w:rsidRPr="00000000" w14:paraId="0000002F">
      <w:pPr>
        <w:widowControl w:val="0"/>
        <w:spacing w:after="240" w:before="240" w:line="262.3950004577637" w:lineRule="auto"/>
        <w:rPr>
          <w:b w:val="1"/>
          <w:sz w:val="24"/>
          <w:szCs w:val="24"/>
        </w:rPr>
      </w:pPr>
      <w:r w:rsidDel="00000000" w:rsidR="00000000" w:rsidRPr="00000000">
        <w:rPr>
          <w:b w:val="1"/>
          <w:sz w:val="24"/>
          <w:szCs w:val="24"/>
          <w:rtl w:val="0"/>
        </w:rPr>
        <w:t xml:space="preserve">Sequencing depth plays an important role in how confident we can be about identifying specific biomarkers. When sequencing depth is high, there are more reads for each site, making it easier to spot real differences between tissues and avoid errors caused by random noise. It also improves the accuracy of calculations, like the fraction of variant reads (VRF), and reduces the chances of missing true markers or detecting false ones. Low depth, on the other hand, can lead to unreliable results because there isn’t enough data to work with. To improve confidence, it’s important to ensure enough sequencing depth, normalize the data, and validate findings with replicates. This ensures more reliable and accurate identification of biomarkers.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082.9200744628906" w:right="284.404296875" w:firstLine="5.279998779296875"/>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082.9200744628906" w:right="284.404296875" w:firstLine="5.279998779296875"/>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082.9200744628906" w:right="284.4042968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For the top 10 PMPs, estimate the threshold of reads required to confidently  call Tissue #2 at a sequencing depth of 1 million reads. (5 points)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082.9200744628906" w:right="284.404296875" w:firstLine="5.279998779296875"/>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082.9200744628906" w:right="284.404296875" w:firstLine="5.279998779296875"/>
        <w:jc w:val="left"/>
        <w:rPr>
          <w:sz w:val="24"/>
          <w:szCs w:val="24"/>
        </w:rPr>
      </w:pPr>
      <w:r w:rsidDel="00000000" w:rsidR="00000000" w:rsidRPr="00000000">
        <w:rPr>
          <w:sz w:val="24"/>
          <w:szCs w:val="24"/>
          <w:rtl w:val="0"/>
        </w:rPr>
        <w:t xml:space="preserve">The estimated threshold for confidently calling Tissue #2, based on a sequencing depth of 1 million reads and a 5% prevalence estimate, is approximately </w:t>
      </w:r>
      <w:r w:rsidDel="00000000" w:rsidR="00000000" w:rsidRPr="00000000">
        <w:rPr>
          <w:b w:val="1"/>
          <w:sz w:val="24"/>
          <w:szCs w:val="24"/>
          <w:rtl w:val="0"/>
        </w:rPr>
        <w:t xml:space="preserve">0.18 reads</w:t>
      </w:r>
      <w:r w:rsidDel="00000000" w:rsidR="00000000" w:rsidRPr="00000000">
        <w:rPr>
          <w:sz w:val="24"/>
          <w:szCs w:val="24"/>
          <w:rtl w:val="0"/>
        </w:rPr>
        <w:t xml:space="preserve">. This means that for the detection of Tissue #2 to be statistically significant at a 95% confidence level, the sequencing depth should yield at least around 0.18 reads.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1082.9200744628906" w:right="284.404296875" w:firstLine="5.279998779296875"/>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 w:line="262.39551544189453" w:lineRule="auto"/>
        <w:ind w:left="1448.2000732421875" w:right="697.200927734375" w:hanging="35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Validate the hypothesis by comparing the specificity of the top 10 PMPs  against individual CpG sites.( 10 points).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 w:line="262.39551544189453" w:lineRule="auto"/>
        <w:ind w:left="1448.2000732421875" w:right="697.200927734375" w:hanging="359.51995849609375"/>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 w:line="262.39551544189453" w:lineRule="auto"/>
        <w:ind w:left="1448.2000732421875" w:right="697.200927734375" w:hanging="359.51995849609375"/>
        <w:jc w:val="left"/>
        <w:rPr>
          <w:sz w:val="24"/>
          <w:szCs w:val="24"/>
        </w:rPr>
      </w:pPr>
      <w:r w:rsidDel="00000000" w:rsidR="00000000" w:rsidRPr="00000000">
        <w:rPr>
          <w:rtl w:val="0"/>
        </w:rPr>
      </w:r>
    </w:p>
    <w:tbl>
      <w:tblPr>
        <w:tblStyle w:val="Table1"/>
        <w:tblW w:w="7972.7999267578125" w:type="dxa"/>
        <w:jc w:val="left"/>
        <w:tblInd w:w="1448.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6.3999633789062"/>
        <w:gridCol w:w="3986.3999633789062"/>
        <w:tblGridChange w:id="0">
          <w:tblGrid>
            <w:gridCol w:w="3986.3999633789062"/>
            <w:gridCol w:w="3986.399963378906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CpG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10035:10044:10111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0.375</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 w:line="262.39551544189453" w:lineRule="auto"/>
        <w:ind w:left="1448.2000732421875" w:right="697.200927734375" w:hanging="359.51995849609375"/>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 w:line="262.39551544189453" w:lineRule="auto"/>
        <w:ind w:left="1448.2000732421875" w:right="697.200927734375" w:hanging="359.51995849609375"/>
        <w:jc w:val="left"/>
        <w:rPr>
          <w:sz w:val="24"/>
          <w:szCs w:val="24"/>
        </w:rPr>
      </w:pPr>
      <w:r w:rsidDel="00000000" w:rsidR="00000000" w:rsidRPr="00000000">
        <w:rPr>
          <w:sz w:val="24"/>
          <w:szCs w:val="24"/>
          <w:rtl w:val="0"/>
        </w:rPr>
        <w:t xml:space="preserve">These specificity values reflect the proportion of true positives to the total number of calls for each CpG site, based on the read threshold of 0.18.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38037109375" w:line="462.6485538482666" w:lineRule="auto"/>
        <w:ind w:left="5.299835205078125" w:right="60.0207519531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______________________________________________________________________________ Task 2: NGS Data Analysis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11181640625" w:line="240" w:lineRule="auto"/>
        <w:ind w:left="9.6199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Evaluate candidates’ ability to process and analyze raw sequencing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66.7265033721924" w:lineRule="auto"/>
        <w:ind w:left="8.179931640625" w:right="141.561279296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The dataset (</w:t>
      </w:r>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Link to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consists of NGS samples in FASTQ format, including one  sample from normal tissue and one from cancer tissue.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344482421875" w:line="240" w:lineRule="auto"/>
        <w:ind w:left="9.1398620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Sub-tasks: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40" w:lineRule="auto"/>
        <w:ind w:left="743.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Quality Control (10 points):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64.644136428833" w:lineRule="auto"/>
        <w:ind w:left="1808.0801391601562" w:right="345.04150390625" w:hanging="359.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Perform quality checks using tools like FastQC and summarize quality  metrics (e.g., sequence counts, per-base quality, read duplication levels).  (10 points)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9765625" w:line="240" w:lineRule="auto"/>
        <w:ind w:left="726.280059814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Alignment and Mutation Calling (40 points):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9365234375" w:line="262.3950004577637" w:lineRule="auto"/>
        <w:ind w:left="1816.0000610351562" w:right="107.16064453125" w:hanging="367.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Align the samples to the human genome using tools like Bowtie2 or BWA.  (10 points).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48046875" w:line="262.3950004577637" w:lineRule="auto"/>
        <w:ind w:left="1808.0801391601562" w:right="202.2021484375" w:hanging="365.1602172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Identify somatic mutations present in the cancer sample but absent in the  normal tissue.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0" w:right="90.00122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Benchmark Software: Use established tools such as Mutect2,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401.719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Strelka2, or VarScan2 for somatic mutation identification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1287.31994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background mutation estimation. (10 points)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8798828125" w:line="240" w:lineRule="auto"/>
        <w:ind w:left="0" w:right="844.04174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Custom Code Development: Write your own scripts,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0" w:right="882.200317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leveraging tools like Samtools, bcftools, or Python/R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8212890625" w:line="240" w:lineRule="auto"/>
        <w:ind w:left="0" w:right="375.802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libraries, to perform mutation detection and calculate the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654296875" w:line="240" w:lineRule="auto"/>
        <w:ind w:left="3248.48022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metrics. (15 points)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8017578125" w:line="263.9502811431885" w:lineRule="auto"/>
        <w:ind w:left="1803.9999389648438" w:right="76.680908203125" w:hanging="355.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Use the normal tissue to calculate the median background mutation level.  The background mutation level accounts for sequencing errors or biases  that can mimic true mutations. Determine how many reads per million are  required to confidently call a given mutation. (5 points)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698486328125" w:line="462.6485538482666" w:lineRule="auto"/>
        <w:ind w:left="9.139862060546875" w:right="60.020751953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______________________________________________________________________________ Submission Instructions and deliverables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11181640625" w:line="266.56002044677734" w:lineRule="auto"/>
        <w:ind w:left="728.2000732421875" w:right="801.840820312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Repository: Upload scripts and code to a GitHub repository. Ensure clear  annotations and reproducibility.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595703125" w:line="263.9499092102051" w:lineRule="auto"/>
        <w:ind w:left="728.6801147460938" w:right="131.522216796875" w:hanging="35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Include a PDF report summarizing your findings, supported by visualizations  (e.g., plots and tables). Large outputs do not need to be included in the initial  submission, but you may be asked to provide such datasets via a custom link if  selected for a potential interview.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923828125" w:line="262.39551544189453" w:lineRule="auto"/>
        <w:ind w:left="728.2000732421875" w:right="1316.041259765625" w:hanging="354.7200012207031"/>
        <w:jc w:val="left"/>
        <w:rPr>
          <w:rFonts w:ascii="Arial" w:cs="Arial" w:eastAsia="Arial" w:hAnsi="Arial"/>
          <w:b w:val="0"/>
          <w:i w:val="0"/>
          <w:smallCaps w:val="0"/>
          <w:strike w:val="0"/>
          <w:color w:val="46788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Send your GitHub link, report, and any supplemental files to  </w:t>
      </w:r>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ale.pinto@pupil.bio</w:t>
      </w:r>
      <w:r w:rsidDel="00000000" w:rsidR="00000000" w:rsidRPr="00000000">
        <w:rPr>
          <w:rFonts w:ascii="Arial" w:cs="Arial" w:eastAsia="Arial" w:hAnsi="Arial"/>
          <w:b w:val="0"/>
          <w:i w:val="0"/>
          <w:smallCaps w:val="0"/>
          <w:strike w:val="0"/>
          <w:color w:val="467886"/>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1943359375" w:line="240" w:lineRule="auto"/>
        <w:ind w:left="373.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Deadline: Submit the completed challenge within two weeks.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462.3146724700928" w:lineRule="auto"/>
        <w:ind w:left="9.3798828125" w:right="60.020751953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______________________________________________________________________________ Evaluation Criteria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49560546875" w:line="266.56002044677734" w:lineRule="auto"/>
        <w:ind w:left="728.2000732421875" w:right="195.12084960937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Completeness and Accuracy: Does your analysis fulfill the requirements and provide  accurate results?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266.56002044677734" w:lineRule="auto"/>
        <w:ind w:left="727.4800109863281" w:right="683.760986328125" w:hanging="35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Quality and Documentation: Is your code well-structured, annotated, and  reproducible?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853515625" w:line="462.7316951751709" w:lineRule="auto"/>
        <w:ind w:left="0.4998779296875" w:right="60.020751953125" w:firstLine="372.9801940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Visualizations: Are your reports clear, informative, and visually engaging? ______________________________________________________________________________</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882995605469"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7200" cy="4572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7200" cy="457200"/>
                    </a:xfrm>
                    <a:prstGeom prst="rect"/>
                    <a:ln/>
                  </pic:spPr>
                </pic:pic>
              </a:graphicData>
            </a:graphic>
          </wp:inline>
        </w:drawing>
      </w:r>
      <w:r w:rsidDel="00000000" w:rsidR="00000000" w:rsidRPr="00000000">
        <w:rPr>
          <w:rFonts w:ascii="Arial" w:cs="Arial" w:eastAsia="Arial" w:hAnsi="Arial"/>
          <w:b w:val="0"/>
          <w:i w:val="0"/>
          <w:smallCaps w:val="0"/>
          <w:strike w:val="0"/>
          <w:color w:val="7f7f7f"/>
          <w:sz w:val="33.333333333333336"/>
          <w:szCs w:val="33.333333333333336"/>
          <w:u w:val="none"/>
          <w:shd w:fill="auto" w:val="clear"/>
          <w:vertAlign w:val="superscript"/>
          <w:rtl w:val="0"/>
        </w:rPr>
        <w:t xml:space="preserve"> Confidential and Proprietary information of Pupil Bio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346" cy="254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13346" cy="254000"/>
                    </a:xfrm>
                    <a:prstGeom prst="rect"/>
                    <a:ln/>
                  </pic:spPr>
                </pic:pic>
              </a:graphicData>
            </a:graphic>
          </wp:inline>
        </w:drawing>
      </w: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Bioinformatics coding Challenge | rev 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9365234375" w:line="266.7267608642578" w:lineRule="auto"/>
        <w:ind w:left="2.899932861328125" w:right="248.4033203125" w:firstLine="0"/>
        <w:jc w:val="left"/>
        <w:rPr>
          <w:rFonts w:ascii="Arial" w:cs="Arial" w:eastAsia="Arial" w:hAnsi="Arial"/>
          <w:b w:val="0"/>
          <w:i w:val="0"/>
          <w:smallCaps w:val="0"/>
          <w:strike w:val="0"/>
          <w:color w:val="467886"/>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look forward to seeing your submission. Impress us with your technical expertise and  creativity! If you have any questions or need clarification, please don’t hesitate to reach out  to us at </w:t>
      </w:r>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ale.pinto@pupil.bio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93359375" w:line="240" w:lineRule="auto"/>
        <w:ind w:left="9.6199035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Luck!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7200" cy="4572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7200" cy="457200"/>
                    </a:xfrm>
                    <a:prstGeom prst="rect"/>
                    <a:ln/>
                  </pic:spPr>
                </pic:pic>
              </a:graphicData>
            </a:graphic>
          </wp:inline>
        </w:drawing>
      </w:r>
      <w:r w:rsidDel="00000000" w:rsidR="00000000" w:rsidRPr="00000000">
        <w:rPr>
          <w:rFonts w:ascii="Arial" w:cs="Arial" w:eastAsia="Arial" w:hAnsi="Arial"/>
          <w:b w:val="0"/>
          <w:i w:val="0"/>
          <w:smallCaps w:val="0"/>
          <w:strike w:val="0"/>
          <w:color w:val="7f7f7f"/>
          <w:sz w:val="33.333333333333336"/>
          <w:szCs w:val="33.333333333333336"/>
          <w:u w:val="none"/>
          <w:shd w:fill="auto" w:val="clear"/>
          <w:vertAlign w:val="superscript"/>
          <w:rtl w:val="0"/>
        </w:rPr>
        <w:t xml:space="preserve"> Confidential and Proprietary information of Pupil Bio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sectPr>
      <w:pgSz w:h="15840" w:w="12240" w:orient="portrait"/>
      <w:pgMar w:bottom="560" w:top="960" w:left="1440" w:right="1379.478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