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AFC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  <w:t xml:space="preserve">📊 Dropout Predictions for {{ teacher }}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 Prediction Results (Top 20)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{{ tables|safe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⬇️ Download Full CSV</w:t>
      </w:r>
    </w:p>
    <w:sectPr>
      <w:pgSz w:h="15840" w:w="12240" w:orient="portrait"/>
      <w:pgMar w:bottom="600" w:top="600" w:left="600" w:right="6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333333"/>
        <w:sz w:val="22"/>
        <w:szCs w:val="22"/>
      </w:rPr>
    </w:rPrDefault>
    <w:pPrDefault>
      <w:pPr>
        <w:widowControl w:val="0"/>
        <w:spacing w:after="600" w:before="600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  <w:jc w:val="center"/>
    </w:pPr>
    <w:rPr>
      <w:b w:val="1"/>
      <w:bCs w:val="1"/>
      <w:i w:val="0"/>
      <w:iCs w:val="0"/>
      <w:color w:val="007bff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