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2E75B6"/>
          <w:sz w:val="24"/>
          <w:szCs w:val="24"/>
        </w:rPr>
        <w:t xml:space="preserve">RESEARCH REPORT</w:t>
      </w:r>
    </w:p>
    <w:p>
      <w:pPr>
        <w:jc w:val="center"/>
      </w:pPr>
      <w:r>
        <w:rPr>
          <w:b/>
          <w:bCs/>
          <w:color w:val="1F3864"/>
          <w:sz w:val="40"/>
          <w:szCs w:val="40"/>
        </w:rPr>
        <w:t xml:space="preserve">Customer Engagement &amp; Product Utilization Analytics</w:t>
      </w:r>
    </w:p>
    <w:p>
      <w:pPr>
        <w:spacing w:after="300"/>
        <w:jc w:val="center"/>
      </w:pPr>
      <w:r>
        <w:rPr>
          <w:b/>
          <w:bCs/>
          <w:color w:val="1F3864"/>
          <w:sz w:val="40"/>
          <w:szCs w:val="40"/>
        </w:rPr>
        <w:t xml:space="preserve">for Retention Strategy in Retail Banking</w:t>
      </w:r>
    </w:p>
    <w:p>
      <w:pPr>
        <w:spacing w:after="600"/>
        <w:jc w:val="center"/>
      </w:pPr>
      <w:r>
        <w:rPr>
          <w:i/>
          <w:iCs/>
          <w:color w:val="595959"/>
          <w:sz w:val="24"/>
          <w:szCs w:val="24"/>
        </w:rPr>
        <w:t xml:space="preserve">A Quantitative Behavioral Analysis of Churn Drivers</w:t>
      </w:r>
    </w:p>
    <w:p>
      <w:pPr>
        <w:spacing w:after="100"/>
        <w:jc w:val="center"/>
      </w:pPr>
      <w:r>
        <w:rPr>
          <w:sz w:val="20"/>
          <w:szCs w:val="20"/>
        </w:rPr>
        <w:t xml:space="preserve">Dataset: European Retail Bank Customer Records (N = 10,000)</w:t>
      </w:r>
    </w:p>
    <w:p>
      <w:pPr>
        <w:spacing w:after="100"/>
        <w:jc w:val="center"/>
      </w:pPr>
      <w:r>
        <w:rPr>
          <w:sz w:val="20"/>
          <w:szCs w:val="20"/>
        </w:rPr>
        <w:t xml:space="preserve">Discipline: Customer Analytics / Retention Science</w:t>
      </w:r>
    </w:p>
    <w:p>
      <w:r>
        <w:br w:type="page"/>
      </w:r>
    </w:p>
    <w:p>
      <w:pPr>
        <w:pStyle w:val="Heading1"/>
        <w:spacing w:after="160" w:before="360"/>
      </w:pPr>
      <w:r>
        <w:t xml:space="preserve">Abstract</w:t>
      </w:r>
    </w:p>
    <w:p>
      <w:pPr>
        <w:spacing w:after="160"/>
        <w:jc w:val="left"/>
      </w:pPr>
      <w:r>
        <w:t xml:space="preserve">Customer retention in retail banking is often modeled using static demographic and financial attributes such as income and account balance. This research investigates an alternative hypothesis: that behavioral engagement and product relationship depth are stronger predictors of customer churn than financial standing alone. Using a cross-sectional dataset of 10,000 retail banking customers, this study applies descriptive statistics, segmentation, cross-tabulation, and a composite scoring method to evaluate the relationship between activity status, product ownership, balance, salary, and churn (customer exit).</w:t>
      </w:r>
    </w:p>
    <w:p>
      <w:pPr>
        <w:spacing w:after="160"/>
        <w:jc w:val="left"/>
      </w:pPr>
      <w:r>
        <w:t xml:space="preserve">Findings show that active engagement reduces churn risk by roughly half relative to inactive status across every balance and product tier tested, and that the relationship between product count and churn is non-monotonic — two products represents an optimal retention point, while three or more products is associated with sharply elevated churn. A composite Relationship Strength Index (RSI), combining engagement and product signals, produces a near-linear churn gradient from 92% to 5% across its range, substantially outperforming any single variable. Balance and salary, evaluated independently, show comparatively weak and sometimes counter-intuitive associations with churn. These findings support engagement-centered retention strategy over balance-centered strategy and motivate a dashboard tool for operational monitoring.</w:t>
      </w:r>
    </w:p>
    <w:p>
      <w:pPr>
        <w:pBdr>
          <w:bottom w:val="single" w:color="BFBFBF" w:sz="6"/>
        </w:pBdr>
        <w:spacing w:after="240"/>
      </w:pPr>
    </w:p>
    <w:p>
      <w:pPr>
        <w:pStyle w:val="Heading1"/>
        <w:spacing w:after="160" w:before="360"/>
      </w:pPr>
      <w:r>
        <w:t xml:space="preserve">1. Introduction</w:t>
      </w:r>
    </w:p>
    <w:p>
      <w:pPr>
        <w:spacing w:after="160"/>
        <w:jc w:val="left"/>
      </w:pPr>
      <w:r>
        <w:t xml:space="preserve">Banks increasingly recognize that customer behavior and engagement — not just demographics — determine long-term retention. Customers may appear financially strong (high balance or salary) while still churning due to low engagement, limited product adoption, or weak relationship depth with the bank. Understanding how customers use banking products and services is essential to designing cross-sell strategies, loyalty programs, and engagement-driven retention initiatives.</w:t>
      </w:r>
    </w:p>
    <w:p>
      <w:pPr>
        <w:spacing w:after="160"/>
        <w:jc w:val="left"/>
      </w:pPr>
      <w:r>
        <w:t xml:space="preserve">This research evaluates retention through the lens of customer behavior and relationship strength, rather than through demographic or purely financial segmentation, which is the more conventional approach in retail banking analytics.</w:t>
      </w:r>
    </w:p>
    <w:p>
      <w:pPr>
        <w:pStyle w:val="Heading2"/>
        <w:spacing w:after="120" w:before="280"/>
      </w:pPr>
      <w:r>
        <w:t xml:space="preserve">1.1 Problem Statement</w:t>
      </w:r>
    </w:p>
    <w:p>
      <w:pPr>
        <w:spacing w:after="160"/>
        <w:jc w:val="left"/>
      </w:pPr>
      <w:r>
        <w:t xml:space="preserve">Despite the availability of engagement and product-usage data, banks frequently lack:</w:t>
      </w:r>
    </w:p>
    <w:p>
      <w:pPr>
        <w:pStyle w:val="ListParagraph"/>
        <w:numPr>
          <w:ilvl w:val="0"/>
          <w:numId w:val="2"/>
        </w:numPr>
        <w:spacing w:after="80"/>
      </w:pPr>
      <w:r>
        <w:rPr>
          <w:b w:val="false"/>
          <w:bCs w:val="false"/>
        </w:rPr>
        <w:t xml:space="preserve">Quantitative insight into which behaviors drive retention</w:t>
      </w:r>
    </w:p>
    <w:p>
      <w:pPr>
        <w:pStyle w:val="ListParagraph"/>
        <w:numPr>
          <w:ilvl w:val="0"/>
          <w:numId w:val="2"/>
        </w:numPr>
        <w:spacing w:after="80"/>
      </w:pPr>
      <w:r>
        <w:rPr>
          <w:b w:val="false"/>
          <w:bCs w:val="false"/>
        </w:rPr>
        <w:t xml:space="preserve">Clarity on whether product depth reduces churn</w:t>
      </w:r>
    </w:p>
    <w:p>
      <w:pPr>
        <w:pStyle w:val="ListParagraph"/>
        <w:numPr>
          <w:ilvl w:val="0"/>
          <w:numId w:val="2"/>
        </w:numPr>
        <w:spacing w:after="80"/>
      </w:pPr>
      <w:r>
        <w:rPr>
          <w:b w:val="false"/>
          <w:bCs w:val="false"/>
        </w:rPr>
        <w:t xml:space="preserve">Evidence on whether high balances alone ensure loyalty</w:t>
      </w:r>
    </w:p>
    <w:p>
      <w:pPr>
        <w:spacing w:after="160"/>
        <w:jc w:val="left"/>
      </w:pPr>
      <w:r>
        <w:t xml:space="preserve">As a result, retention strategies are frequently generic and misaligned with actual customer behavior, leading to inefficient allocation of retention budgets and continued "silent churn" among customers assumed to be low-risk.</w:t>
      </w:r>
    </w:p>
    <w:p>
      <w:pPr>
        <w:pStyle w:val="Heading2"/>
        <w:spacing w:after="120" w:before="280"/>
      </w:pPr>
      <w:r>
        <w:t xml:space="preserve">1.2 Research Objectives</w:t>
      </w:r>
    </w:p>
    <w:p>
      <w:pPr>
        <w:pStyle w:val="Heading3"/>
        <w:spacing w:after="100" w:before="200"/>
      </w:pPr>
      <w:r>
        <w:t xml:space="preserve">Primary Objectives</w:t>
      </w:r>
    </w:p>
    <w:p>
      <w:pPr>
        <w:pStyle w:val="ListParagraph"/>
        <w:numPr>
          <w:ilvl w:val="0"/>
          <w:numId w:val="3"/>
        </w:numPr>
        <w:spacing w:after="80"/>
      </w:pPr>
      <w:r>
        <w:rPr>
          <w:b w:val="false"/>
          <w:bCs w:val="false"/>
        </w:rPr>
        <w:t xml:space="preserve">Evaluate the relationship between engagement and churn.</w:t>
      </w:r>
    </w:p>
    <w:p>
      <w:pPr>
        <w:pStyle w:val="ListParagraph"/>
        <w:numPr>
          <w:ilvl w:val="0"/>
          <w:numId w:val="3"/>
        </w:numPr>
        <w:spacing w:after="80"/>
      </w:pPr>
      <w:r>
        <w:rPr>
          <w:b w:val="false"/>
          <w:bCs w:val="false"/>
        </w:rPr>
        <w:t xml:space="preserve">Measure the retention impact of product count and product mix.</w:t>
      </w:r>
    </w:p>
    <w:p>
      <w:pPr>
        <w:pStyle w:val="ListParagraph"/>
        <w:numPr>
          <w:ilvl w:val="0"/>
          <w:numId w:val="3"/>
        </w:numPr>
        <w:spacing w:after="80"/>
      </w:pPr>
      <w:r>
        <w:rPr>
          <w:b w:val="false"/>
          <w:bCs w:val="false"/>
        </w:rPr>
        <w:t xml:space="preserve">Identify disengaged yet high-value customers.</w:t>
      </w:r>
    </w:p>
    <w:p>
      <w:pPr>
        <w:pStyle w:val="Heading3"/>
        <w:spacing w:after="100" w:before="200"/>
      </w:pPr>
      <w:r>
        <w:t xml:space="preserve">Secondary Objectives</w:t>
      </w:r>
    </w:p>
    <w:p>
      <w:pPr>
        <w:pStyle w:val="ListParagraph"/>
        <w:numPr>
          <w:ilvl w:val="0"/>
          <w:numId w:val="3"/>
        </w:numPr>
        <w:spacing w:after="80"/>
      </w:pPr>
      <w:r>
        <w:rPr>
          <w:b w:val="false"/>
          <w:bCs w:val="false"/>
        </w:rPr>
        <w:t xml:space="preserve">Support engagement-driven retention strategies.</w:t>
      </w:r>
    </w:p>
    <w:p>
      <w:pPr>
        <w:pStyle w:val="ListParagraph"/>
        <w:numPr>
          <w:ilvl w:val="0"/>
          <w:numId w:val="3"/>
        </w:numPr>
        <w:spacing w:after="80"/>
      </w:pPr>
      <w:r>
        <w:rPr>
          <w:b w:val="false"/>
          <w:bCs w:val="false"/>
        </w:rPr>
        <w:t xml:space="preserve">Improve product bundling decisions.</w:t>
      </w:r>
    </w:p>
    <w:p>
      <w:pPr>
        <w:pStyle w:val="ListParagraph"/>
        <w:numPr>
          <w:ilvl w:val="0"/>
          <w:numId w:val="3"/>
        </w:numPr>
        <w:spacing w:after="80"/>
      </w:pPr>
      <w:r>
        <w:rPr>
          <w:b w:val="false"/>
          <w:bCs w:val="false"/>
        </w:rPr>
        <w:t xml:space="preserve">Reduce silent churn among premium customers.</w:t>
      </w:r>
    </w:p>
    <w:p>
      <w:pPr>
        <w:pStyle w:val="Heading2"/>
        <w:spacing w:after="120" w:before="280"/>
      </w:pPr>
      <w:r>
        <w:t xml:space="preserve">1.3 Research Questions and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shd w:fill="1F3864" w:val="clear"/>
            <w:tcMar>
              <w:top w:type="dxa" w:w="80"/>
              <w:left w:type="dxa" w:w="120"/>
              <w:bottom w:type="dxa" w:w="80"/>
              <w:right w:type="dxa" w:w="120"/>
            </w:tcMar>
          </w:tcPr>
          <w:p>
            <w:pPr>
              <w:jc w:val="center"/>
            </w:pPr>
            <w:r>
              <w:rPr>
                <w:b/>
                <w:bCs/>
                <w:i w:val="false"/>
                <w:iCs w:val="false"/>
                <w:color w:val="FFFFFF"/>
              </w:rPr>
              <w:t xml:space="preserve">Research Question</w:t>
            </w:r>
          </w:p>
        </w:tc>
        <w:tc>
          <w:tcPr>
            <w:tcW w:type="dxa" w:w="5148"/>
            <w:shd w:fill="1F3864" w:val="clear"/>
            <w:tcMar>
              <w:top w:type="dxa" w:w="80"/>
              <w:left w:type="dxa" w:w="120"/>
              <w:bottom w:type="dxa" w:w="80"/>
              <w:right w:type="dxa" w:w="120"/>
            </w:tcMar>
          </w:tcPr>
          <w:p>
            <w:pPr>
              <w:jc w:val="center"/>
            </w:pPr>
            <w:r>
              <w:rPr>
                <w:b/>
                <w:bCs/>
                <w:i w:val="false"/>
                <w:iCs w:val="false"/>
                <w:color w:val="FFFFFF"/>
              </w:rPr>
              <w:t xml:space="preserve">Working Hypothesis (H)</w:t>
            </w:r>
          </w:p>
        </w:tc>
      </w:tr>
      <w:tr>
        <w:tc>
          <w:tcPr>
            <w:tcW w:type="dxa" w:w="4212"/>
            <w:shd w:fill="F2F2F2" w:val="clear"/>
            <w:tcMar>
              <w:top w:type="dxa" w:w="80"/>
              <w:left w:type="dxa" w:w="120"/>
              <w:bottom w:type="dxa" w:w="80"/>
              <w:right w:type="dxa" w:w="120"/>
            </w:tcMar>
          </w:tcPr>
          <w:p>
            <w:pPr>
              <w:jc w:val="left"/>
            </w:pPr>
            <w:r>
              <w:rPr>
                <w:b w:val="false"/>
                <w:bCs w:val="false"/>
                <w:i w:val="false"/>
                <w:iCs w:val="false"/>
                <w:color w:val="000000"/>
              </w:rPr>
              <w:t xml:space="preserve">Does account activity status predict churn independently of wealth?</w:t>
            </w:r>
          </w:p>
        </w:tc>
        <w:tc>
          <w:tcPr>
            <w:tcW w:type="dxa" w:w="5148"/>
            <w:shd w:fill="F2F2F2" w:val="clear"/>
            <w:tcMar>
              <w:top w:type="dxa" w:w="80"/>
              <w:left w:type="dxa" w:w="120"/>
              <w:bottom w:type="dxa" w:w="80"/>
              <w:right w:type="dxa" w:w="120"/>
            </w:tcMar>
          </w:tcPr>
          <w:p>
            <w:pPr>
              <w:jc w:val="center"/>
            </w:pPr>
            <w:r>
              <w:rPr>
                <w:b w:val="false"/>
                <w:bCs w:val="false"/>
                <w:i w:val="false"/>
                <w:iCs w:val="false"/>
                <w:color w:val="000000"/>
              </w:rPr>
              <w:t xml:space="preserve">H1: Active members churn at a significantly lower rate than inactive members at every balance/salary level.</w:t>
            </w:r>
          </w:p>
        </w:tc>
      </w:tr>
      <w:tr>
        <w:tc>
          <w:tcPr>
            <w:tcW w:type="dxa" w:w="4212"/>
            <w:shd w:fill="FFFFFF" w:val="clear"/>
            <w:tcMar>
              <w:top w:type="dxa" w:w="80"/>
              <w:left w:type="dxa" w:w="120"/>
              <w:bottom w:type="dxa" w:w="80"/>
              <w:right w:type="dxa" w:w="120"/>
            </w:tcMar>
          </w:tcPr>
          <w:p>
            <w:pPr>
              <w:jc w:val="left"/>
            </w:pPr>
            <w:r>
              <w:rPr>
                <w:b w:val="false"/>
                <w:bCs w:val="false"/>
                <w:i w:val="false"/>
                <w:iCs w:val="false"/>
                <w:color w:val="000000"/>
              </w:rPr>
              <w:t xml:space="preserve">Is the relationship between product count and churn linear?</w:t>
            </w:r>
          </w:p>
        </w:tc>
        <w:tc>
          <w:tcPr>
            <w:tcW w:type="dxa" w:w="5148"/>
            <w:shd w:fill="FFFFFF" w:val="clear"/>
            <w:tcMar>
              <w:top w:type="dxa" w:w="80"/>
              <w:left w:type="dxa" w:w="120"/>
              <w:bottom w:type="dxa" w:w="80"/>
              <w:right w:type="dxa" w:w="120"/>
            </w:tcMar>
          </w:tcPr>
          <w:p>
            <w:pPr>
              <w:jc w:val="center"/>
            </w:pPr>
            <w:r>
              <w:rPr>
                <w:b w:val="false"/>
                <w:bCs w:val="false"/>
                <w:i w:val="false"/>
                <w:iCs w:val="false"/>
                <w:color w:val="000000"/>
              </w:rPr>
              <w:t xml:space="preserve">H2: Product count has a non-monotonic relationship with churn (an interior optimum, not a straight line).</w:t>
            </w:r>
          </w:p>
        </w:tc>
      </w:tr>
      <w:tr>
        <w:tc>
          <w:tcPr>
            <w:tcW w:type="dxa" w:w="4212"/>
            <w:shd w:fill="F2F2F2" w:val="clear"/>
            <w:tcMar>
              <w:top w:type="dxa" w:w="80"/>
              <w:left w:type="dxa" w:w="120"/>
              <w:bottom w:type="dxa" w:w="80"/>
              <w:right w:type="dxa" w:w="120"/>
            </w:tcMar>
          </w:tcPr>
          <w:p>
            <w:pPr>
              <w:jc w:val="left"/>
            </w:pPr>
            <w:r>
              <w:rPr>
                <w:b w:val="false"/>
                <w:bCs w:val="false"/>
                <w:i w:val="false"/>
                <w:iCs w:val="false"/>
                <w:color w:val="000000"/>
              </w:rPr>
              <w:t xml:space="preserve">Does a combined engagement-product score outperform single variables?</w:t>
            </w:r>
          </w:p>
        </w:tc>
        <w:tc>
          <w:tcPr>
            <w:tcW w:type="dxa" w:w="5148"/>
            <w:shd w:fill="F2F2F2" w:val="clear"/>
            <w:tcMar>
              <w:top w:type="dxa" w:w="80"/>
              <w:left w:type="dxa" w:w="120"/>
              <w:bottom w:type="dxa" w:w="80"/>
              <w:right w:type="dxa" w:w="120"/>
            </w:tcMar>
          </w:tcPr>
          <w:p>
            <w:pPr>
              <w:jc w:val="center"/>
            </w:pPr>
            <w:r>
              <w:rPr>
                <w:b w:val="false"/>
                <w:bCs w:val="false"/>
                <w:i w:val="false"/>
                <w:iCs w:val="false"/>
                <w:color w:val="000000"/>
              </w:rPr>
              <w:t xml:space="preserve">H3: A composite index combining activity and product signals produces a stronger, more monotonic churn gradient than either variable alone.</w:t>
            </w:r>
          </w:p>
        </w:tc>
      </w:tr>
      <w:tr>
        <w:tc>
          <w:tcPr>
            <w:tcW w:type="dxa" w:w="4212"/>
            <w:shd w:fill="FFFFFF" w:val="clear"/>
            <w:tcMar>
              <w:top w:type="dxa" w:w="80"/>
              <w:left w:type="dxa" w:w="120"/>
              <w:bottom w:type="dxa" w:w="80"/>
              <w:right w:type="dxa" w:w="120"/>
            </w:tcMar>
          </w:tcPr>
          <w:p>
            <w:pPr>
              <w:jc w:val="left"/>
            </w:pPr>
            <w:r>
              <w:rPr>
                <w:b w:val="false"/>
                <w:bCs w:val="false"/>
                <w:i w:val="false"/>
                <w:iCs w:val="false"/>
                <w:color w:val="000000"/>
              </w:rPr>
              <w:t xml:space="preserve">Are high-balance customers protected from churn by their balance?</w:t>
            </w:r>
          </w:p>
        </w:tc>
        <w:tc>
          <w:tcPr>
            <w:tcW w:type="dxa" w:w="5148"/>
            <w:shd w:fill="FFFFFF" w:val="clear"/>
            <w:tcMar>
              <w:top w:type="dxa" w:w="80"/>
              <w:left w:type="dxa" w:w="120"/>
              <w:bottom w:type="dxa" w:w="80"/>
              <w:right w:type="dxa" w:w="120"/>
            </w:tcMar>
          </w:tcPr>
          <w:p>
            <w:pPr>
              <w:jc w:val="center"/>
            </w:pPr>
            <w:r>
              <w:rPr>
                <w:b w:val="false"/>
                <w:bCs w:val="false"/>
                <w:i w:val="false"/>
                <w:iCs w:val="false"/>
                <w:color w:val="000000"/>
              </w:rPr>
              <w:t xml:space="preserve">H4: High balance does not offset the churn risk associated with disengagement.</w:t>
            </w:r>
          </w:p>
        </w:tc>
      </w:tr>
    </w:tbl>
    <w:p>
      <w:r>
        <w:br w:type="page"/>
      </w:r>
    </w:p>
    <w:p>
      <w:pPr>
        <w:pStyle w:val="Heading1"/>
        <w:spacing w:after="160" w:before="360"/>
      </w:pPr>
      <w:r>
        <w:t xml:space="preserve">2. Research Methodology</w:t>
      </w:r>
    </w:p>
    <w:p>
      <w:pPr>
        <w:pStyle w:val="Heading2"/>
        <w:spacing w:after="120" w:before="280"/>
      </w:pPr>
      <w:r>
        <w:t xml:space="preserve">2.1 Research Design</w:t>
      </w:r>
    </w:p>
    <w:p>
      <w:pPr>
        <w:spacing w:after="160"/>
        <w:jc w:val="left"/>
      </w:pPr>
      <w:r>
        <w:t xml:space="preserve">This is a quantitative, cross-sectional, exploratory-to-confirmatory study. It combines descriptive statistics, group comparisons (cross-tabulation), correlation analysis, and an original composite index construction (the Relationship Strength Index) to test the hypotheses above. No experimental manipulation or longitudinal tracking was possible, as the dataset represents a single time-point snapshot.</w:t>
      </w:r>
    </w:p>
    <w:p>
      <w:pPr>
        <w:pStyle w:val="Heading2"/>
        <w:spacing w:after="120" w:before="280"/>
      </w:pPr>
      <w:r>
        <w:t xml:space="preserve">2.2 Data Source and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20"/>
              <w:bottom w:type="dxa" w:w="80"/>
              <w:right w:type="dxa" w:w="120"/>
            </w:tcMar>
          </w:tcPr>
          <w:p>
            <w:pPr>
              <w:jc w:val="center"/>
            </w:pPr>
            <w:r>
              <w:rPr>
                <w:b/>
                <w:bCs/>
                <w:i w:val="false"/>
                <w:iCs w:val="false"/>
                <w:color w:val="FFFFFF"/>
              </w:rPr>
              <w:t xml:space="preserve">Attribute</w:t>
            </w:r>
          </w:p>
        </w:tc>
        <w:tc>
          <w:tcPr>
            <w:tcW w:type="dxa" w:w="6552"/>
            <w:shd w:fill="1F3864" w:val="clear"/>
            <w:tcMar>
              <w:top w:type="dxa" w:w="80"/>
              <w:left w:type="dxa" w:w="120"/>
              <w:bottom w:type="dxa" w:w="80"/>
              <w:right w:type="dxa" w:w="120"/>
            </w:tcMar>
          </w:tcPr>
          <w:p>
            <w:pPr>
              <w:jc w:val="center"/>
            </w:pPr>
            <w:r>
              <w:rPr>
                <w:b/>
                <w:bCs/>
                <w:i w:val="false"/>
                <w:iCs w:val="false"/>
                <w:color w:val="FFFFFF"/>
              </w:rPr>
              <w:t xml:space="preserve">Detail</w:t>
            </w:r>
          </w:p>
        </w:tc>
      </w:tr>
      <w:tr>
        <w:tc>
          <w:tcPr>
            <w:tcW w:type="dxa" w:w="2808"/>
            <w:shd w:fill="F2F2F2" w:val="clear"/>
            <w:tcMar>
              <w:top w:type="dxa" w:w="80"/>
              <w:left w:type="dxa" w:w="120"/>
              <w:bottom w:type="dxa" w:w="80"/>
              <w:right w:type="dxa" w:w="120"/>
            </w:tcMar>
          </w:tcPr>
          <w:p>
            <w:pPr>
              <w:jc w:val="left"/>
            </w:pPr>
            <w:r>
              <w:rPr>
                <w:b w:val="false"/>
                <w:bCs w:val="false"/>
                <w:i w:val="false"/>
                <w:iCs w:val="false"/>
                <w:color w:val="000000"/>
              </w:rPr>
              <w:t xml:space="preserve">Population</w:t>
            </w:r>
          </w:p>
        </w:tc>
        <w:tc>
          <w:tcPr>
            <w:tcW w:type="dxa" w:w="6552"/>
            <w:shd w:fill="F2F2F2" w:val="clear"/>
            <w:tcMar>
              <w:top w:type="dxa" w:w="80"/>
              <w:left w:type="dxa" w:w="120"/>
              <w:bottom w:type="dxa" w:w="80"/>
              <w:right w:type="dxa" w:w="120"/>
            </w:tcMar>
          </w:tcPr>
          <w:p>
            <w:pPr>
              <w:jc w:val="center"/>
            </w:pPr>
            <w:r>
              <w:rPr>
                <w:b w:val="false"/>
                <w:bCs w:val="false"/>
                <w:i w:val="false"/>
                <w:iCs w:val="false"/>
                <w:color w:val="000000"/>
              </w:rPr>
              <w:t xml:space="preserve">Retail banking customers of a European bank operating in France, Germany, and Spain</w:t>
            </w:r>
          </w:p>
        </w:tc>
      </w:tr>
      <w:tr>
        <w:tc>
          <w:tcPr>
            <w:tcW w:type="dxa" w:w="2808"/>
            <w:shd w:fill="FFFFFF" w:val="clear"/>
            <w:tcMar>
              <w:top w:type="dxa" w:w="80"/>
              <w:left w:type="dxa" w:w="120"/>
              <w:bottom w:type="dxa" w:w="80"/>
              <w:right w:type="dxa" w:w="120"/>
            </w:tcMar>
          </w:tcPr>
          <w:p>
            <w:pPr>
              <w:jc w:val="left"/>
            </w:pPr>
            <w:r>
              <w:rPr>
                <w:b w:val="false"/>
                <w:bCs w:val="false"/>
                <w:i w:val="false"/>
                <w:iCs w:val="false"/>
                <w:color w:val="000000"/>
              </w:rPr>
              <w:t xml:space="preserve">Sample size</w:t>
            </w:r>
          </w:p>
        </w:tc>
        <w:tc>
          <w:tcPr>
            <w:tcW w:type="dxa" w:w="6552"/>
            <w:shd w:fill="FFFFFF" w:val="clear"/>
            <w:tcMar>
              <w:top w:type="dxa" w:w="80"/>
              <w:left w:type="dxa" w:w="120"/>
              <w:bottom w:type="dxa" w:w="80"/>
              <w:right w:type="dxa" w:w="120"/>
            </w:tcMar>
          </w:tcPr>
          <w:p>
            <w:pPr>
              <w:jc w:val="center"/>
            </w:pPr>
            <w:r>
              <w:rPr>
                <w:b w:val="false"/>
                <w:bCs w:val="false"/>
                <w:i w:val="false"/>
                <w:iCs w:val="false"/>
                <w:color w:val="000000"/>
              </w:rPr>
              <w:t xml:space="preserve">10,000 customer records (full population provided, not a drawn sample)</w:t>
            </w:r>
          </w:p>
        </w:tc>
      </w:tr>
      <w:tr>
        <w:tc>
          <w:tcPr>
            <w:tcW w:type="dxa" w:w="2808"/>
            <w:shd w:fill="F2F2F2" w:val="clear"/>
            <w:tcMar>
              <w:top w:type="dxa" w:w="80"/>
              <w:left w:type="dxa" w:w="120"/>
              <w:bottom w:type="dxa" w:w="80"/>
              <w:right w:type="dxa" w:w="120"/>
            </w:tcMar>
          </w:tcPr>
          <w:p>
            <w:pPr>
              <w:jc w:val="left"/>
            </w:pPr>
            <w:r>
              <w:rPr>
                <w:b w:val="false"/>
                <w:bCs w:val="false"/>
                <w:i w:val="false"/>
                <w:iCs w:val="false"/>
                <w:color w:val="000000"/>
              </w:rPr>
              <w:t xml:space="preserve">Unit of analysis</w:t>
            </w:r>
          </w:p>
        </w:tc>
        <w:tc>
          <w:tcPr>
            <w:tcW w:type="dxa" w:w="6552"/>
            <w:shd w:fill="F2F2F2" w:val="clear"/>
            <w:tcMar>
              <w:top w:type="dxa" w:w="80"/>
              <w:left w:type="dxa" w:w="120"/>
              <w:bottom w:type="dxa" w:w="80"/>
              <w:right w:type="dxa" w:w="120"/>
            </w:tcMar>
          </w:tcPr>
          <w:p>
            <w:pPr>
              <w:jc w:val="center"/>
            </w:pPr>
            <w:r>
              <w:rPr>
                <w:b w:val="false"/>
                <w:bCs w:val="false"/>
                <w:i w:val="false"/>
                <w:iCs w:val="false"/>
                <w:color w:val="000000"/>
              </w:rPr>
              <w:t xml:space="preserve">Individual customer</w:t>
            </w:r>
          </w:p>
        </w:tc>
      </w:tr>
      <w:tr>
        <w:tc>
          <w:tcPr>
            <w:tcW w:type="dxa" w:w="2808"/>
            <w:shd w:fill="FFFFFF" w:val="clear"/>
            <w:tcMar>
              <w:top w:type="dxa" w:w="80"/>
              <w:left w:type="dxa" w:w="120"/>
              <w:bottom w:type="dxa" w:w="80"/>
              <w:right w:type="dxa" w:w="120"/>
            </w:tcMar>
          </w:tcPr>
          <w:p>
            <w:pPr>
              <w:jc w:val="left"/>
            </w:pPr>
            <w:r>
              <w:rPr>
                <w:b w:val="false"/>
                <w:bCs w:val="false"/>
                <w:i w:val="false"/>
                <w:iCs w:val="false"/>
                <w:color w:val="000000"/>
              </w:rPr>
              <w:t xml:space="preserve">Time frame</w:t>
            </w:r>
          </w:p>
        </w:tc>
        <w:tc>
          <w:tcPr>
            <w:tcW w:type="dxa" w:w="6552"/>
            <w:shd w:fill="FFFFFF" w:val="clear"/>
            <w:tcMar>
              <w:top w:type="dxa" w:w="80"/>
              <w:left w:type="dxa" w:w="120"/>
              <w:bottom w:type="dxa" w:w="80"/>
              <w:right w:type="dxa" w:w="120"/>
            </w:tcMar>
          </w:tcPr>
          <w:p>
            <w:pPr>
              <w:jc w:val="center"/>
            </w:pPr>
            <w:r>
              <w:rPr>
                <w:b w:val="false"/>
                <w:bCs w:val="false"/>
                <w:i w:val="false"/>
                <w:iCs w:val="false"/>
                <w:color w:val="000000"/>
              </w:rPr>
              <w:t xml:space="preserve">Single cross-sectional snapshot (Year field constant = 2025)</w:t>
            </w:r>
          </w:p>
        </w:tc>
      </w:tr>
      <w:tr>
        <w:tc>
          <w:tcPr>
            <w:tcW w:type="dxa" w:w="2808"/>
            <w:shd w:fill="F2F2F2" w:val="clear"/>
            <w:tcMar>
              <w:top w:type="dxa" w:w="80"/>
              <w:left w:type="dxa" w:w="120"/>
              <w:bottom w:type="dxa" w:w="80"/>
              <w:right w:type="dxa" w:w="120"/>
            </w:tcMar>
          </w:tcPr>
          <w:p>
            <w:pPr>
              <w:jc w:val="left"/>
            </w:pPr>
            <w:r>
              <w:rPr>
                <w:b w:val="false"/>
                <w:bCs w:val="false"/>
                <w:i w:val="false"/>
                <w:iCs w:val="false"/>
                <w:color w:val="000000"/>
              </w:rPr>
              <w:t xml:space="preserve">Outcome (dependent) variable</w:t>
            </w:r>
          </w:p>
        </w:tc>
        <w:tc>
          <w:tcPr>
            <w:tcW w:type="dxa" w:w="6552"/>
            <w:shd w:fill="F2F2F2" w:val="clear"/>
            <w:tcMar>
              <w:top w:type="dxa" w:w="80"/>
              <w:left w:type="dxa" w:w="120"/>
              <w:bottom w:type="dxa" w:w="80"/>
              <w:right w:type="dxa" w:w="120"/>
            </w:tcMar>
          </w:tcPr>
          <w:p>
            <w:pPr>
              <w:jc w:val="center"/>
            </w:pPr>
            <w:r>
              <w:rPr>
                <w:b w:val="false"/>
                <w:bCs w:val="false"/>
                <w:i w:val="false"/>
                <w:iCs w:val="false"/>
                <w:color w:val="000000"/>
              </w:rPr>
              <w:t xml:space="preserve">Exited (binary: 1 = churned, 0 = retained)</w:t>
            </w:r>
          </w:p>
        </w:tc>
      </w:tr>
    </w:tbl>
    <w:p>
      <w:pPr>
        <w:pStyle w:val="Heading2"/>
        <w:spacing w:after="120" w:before="280"/>
      </w:pPr>
      <w:r>
        <w:t xml:space="preserve">2.3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shd w:fill="1F3864" w:val="clear"/>
            <w:tcMar>
              <w:top w:type="dxa" w:w="80"/>
              <w:left w:type="dxa" w:w="120"/>
              <w:bottom w:type="dxa" w:w="80"/>
              <w:right w:type="dxa" w:w="120"/>
            </w:tcMar>
          </w:tcPr>
          <w:p>
            <w:pPr>
              <w:jc w:val="center"/>
            </w:pPr>
            <w:r>
              <w:rPr>
                <w:b/>
                <w:bCs/>
                <w:i w:val="false"/>
                <w:iCs w:val="false"/>
                <w:color w:val="FFFFFF"/>
              </w:rPr>
              <w:t xml:space="preserve">Variable</w:t>
            </w:r>
          </w:p>
        </w:tc>
        <w:tc>
          <w:tcPr>
            <w:tcW w:type="dxa" w:w="2246"/>
            <w:shd w:fill="1F3864" w:val="clear"/>
            <w:tcMar>
              <w:top w:type="dxa" w:w="80"/>
              <w:left w:type="dxa" w:w="120"/>
              <w:bottom w:type="dxa" w:w="80"/>
              <w:right w:type="dxa" w:w="120"/>
            </w:tcMar>
          </w:tcPr>
          <w:p>
            <w:pPr>
              <w:jc w:val="center"/>
            </w:pPr>
            <w:r>
              <w:rPr>
                <w:b/>
                <w:bCs/>
                <w:i w:val="false"/>
                <w:iCs w:val="false"/>
                <w:color w:val="FFFFFF"/>
              </w:rPr>
              <w:t xml:space="preserve">Type</w:t>
            </w:r>
          </w:p>
        </w:tc>
        <w:tc>
          <w:tcPr>
            <w:tcW w:type="dxa" w:w="4680"/>
            <w:shd w:fill="1F3864" w:val="clear"/>
            <w:tcMar>
              <w:top w:type="dxa" w:w="80"/>
              <w:left w:type="dxa" w:w="120"/>
              <w:bottom w:type="dxa" w:w="80"/>
              <w:right w:type="dxa" w:w="120"/>
            </w:tcMar>
          </w:tcPr>
          <w:p>
            <w:pPr>
              <w:jc w:val="center"/>
            </w:pPr>
            <w:r>
              <w:rPr>
                <w:b/>
                <w:bCs/>
                <w:i w:val="false"/>
                <w:iCs w:val="false"/>
                <w:color w:val="FFFFFF"/>
              </w:rPr>
              <w:t xml:space="preserve">Role in Study</w:t>
            </w:r>
          </w:p>
        </w:tc>
      </w:tr>
      <w:tr>
        <w:tc>
          <w:tcPr>
            <w:tcW w:type="dxa" w:w="2434"/>
            <w:shd w:fill="F2F2F2" w:val="clear"/>
            <w:tcMar>
              <w:top w:type="dxa" w:w="80"/>
              <w:left w:type="dxa" w:w="120"/>
              <w:bottom w:type="dxa" w:w="80"/>
              <w:right w:type="dxa" w:w="120"/>
            </w:tcMar>
          </w:tcPr>
          <w:p>
            <w:pPr>
              <w:jc w:val="left"/>
            </w:pPr>
            <w:r>
              <w:rPr>
                <w:b w:val="false"/>
                <w:bCs w:val="false"/>
                <w:i w:val="false"/>
                <w:iCs w:val="false"/>
                <w:color w:val="000000"/>
              </w:rPr>
              <w:t xml:space="preserve">IsActiveMember</w:t>
            </w:r>
          </w:p>
        </w:tc>
        <w:tc>
          <w:tcPr>
            <w:tcW w:type="dxa" w:w="2246"/>
            <w:shd w:fill="F2F2F2" w:val="clear"/>
            <w:tcMar>
              <w:top w:type="dxa" w:w="80"/>
              <w:left w:type="dxa" w:w="120"/>
              <w:bottom w:type="dxa" w:w="80"/>
              <w:right w:type="dxa" w:w="120"/>
            </w:tcMar>
          </w:tcPr>
          <w:p>
            <w:pPr>
              <w:jc w:val="center"/>
            </w:pPr>
            <w:r>
              <w:rPr>
                <w:b w:val="false"/>
                <w:bCs w:val="false"/>
                <w:i w:val="false"/>
                <w:iCs w:val="false"/>
                <w:color w:val="000000"/>
              </w:rPr>
              <w:t xml:space="preserve">Binary</w:t>
            </w:r>
          </w:p>
        </w:tc>
        <w:tc>
          <w:tcPr>
            <w:tcW w:type="dxa" w:w="4680"/>
            <w:shd w:fill="F2F2F2" w:val="clear"/>
            <w:tcMar>
              <w:top w:type="dxa" w:w="80"/>
              <w:left w:type="dxa" w:w="120"/>
              <w:bottom w:type="dxa" w:w="80"/>
              <w:right w:type="dxa" w:w="120"/>
            </w:tcMar>
          </w:tcPr>
          <w:p>
            <w:pPr>
              <w:jc w:val="center"/>
            </w:pPr>
            <w:r>
              <w:rPr>
                <w:b w:val="false"/>
                <w:bCs w:val="false"/>
                <w:i w:val="false"/>
                <w:iCs w:val="false"/>
                <w:color w:val="000000"/>
              </w:rPr>
              <w:t xml:space="preserve">Primary engagement proxy</w:t>
            </w:r>
          </w:p>
        </w:tc>
      </w:tr>
      <w:tr>
        <w:tc>
          <w:tcPr>
            <w:tcW w:type="dxa" w:w="2434"/>
            <w:shd w:fill="FFFFFF" w:val="clear"/>
            <w:tcMar>
              <w:top w:type="dxa" w:w="80"/>
              <w:left w:type="dxa" w:w="120"/>
              <w:bottom w:type="dxa" w:w="80"/>
              <w:right w:type="dxa" w:w="120"/>
            </w:tcMar>
          </w:tcPr>
          <w:p>
            <w:pPr>
              <w:jc w:val="left"/>
            </w:pPr>
            <w:r>
              <w:rPr>
                <w:b w:val="false"/>
                <w:bCs w:val="false"/>
                <w:i w:val="false"/>
                <w:iCs w:val="false"/>
                <w:color w:val="000000"/>
              </w:rPr>
              <w:t xml:space="preserve">NumOfProducts</w:t>
            </w:r>
          </w:p>
        </w:tc>
        <w:tc>
          <w:tcPr>
            <w:tcW w:type="dxa" w:w="2246"/>
            <w:shd w:fill="FFFFFF" w:val="clear"/>
            <w:tcMar>
              <w:top w:type="dxa" w:w="80"/>
              <w:left w:type="dxa" w:w="120"/>
              <w:bottom w:type="dxa" w:w="80"/>
              <w:right w:type="dxa" w:w="120"/>
            </w:tcMar>
          </w:tcPr>
          <w:p>
            <w:pPr>
              <w:jc w:val="center"/>
            </w:pPr>
            <w:r>
              <w:rPr>
                <w:b w:val="false"/>
                <w:bCs w:val="false"/>
                <w:i w:val="false"/>
                <w:iCs w:val="false"/>
                <w:color w:val="000000"/>
              </w:rPr>
              <w:t xml:space="preserve">Discrete (1-4)</w:t>
            </w:r>
          </w:p>
        </w:tc>
        <w:tc>
          <w:tcPr>
            <w:tcW w:type="dxa" w:w="4680"/>
            <w:shd w:fill="FFFFFF" w:val="clear"/>
            <w:tcMar>
              <w:top w:type="dxa" w:w="80"/>
              <w:left w:type="dxa" w:w="120"/>
              <w:bottom w:type="dxa" w:w="80"/>
              <w:right w:type="dxa" w:w="120"/>
            </w:tcMar>
          </w:tcPr>
          <w:p>
            <w:pPr>
              <w:jc w:val="center"/>
            </w:pPr>
            <w:r>
              <w:rPr>
                <w:b w:val="false"/>
                <w:bCs w:val="false"/>
                <w:i w:val="false"/>
                <w:iCs w:val="false"/>
                <w:color w:val="000000"/>
              </w:rPr>
              <w:t xml:space="preserve">Product depth / relationship breadth</w:t>
            </w:r>
          </w:p>
        </w:tc>
      </w:tr>
      <w:tr>
        <w:tc>
          <w:tcPr>
            <w:tcW w:type="dxa" w:w="2434"/>
            <w:shd w:fill="F2F2F2" w:val="clear"/>
            <w:tcMar>
              <w:top w:type="dxa" w:w="80"/>
              <w:left w:type="dxa" w:w="120"/>
              <w:bottom w:type="dxa" w:w="80"/>
              <w:right w:type="dxa" w:w="120"/>
            </w:tcMar>
          </w:tcPr>
          <w:p>
            <w:pPr>
              <w:jc w:val="left"/>
            </w:pPr>
            <w:r>
              <w:rPr>
                <w:b w:val="false"/>
                <w:bCs w:val="false"/>
                <w:i w:val="false"/>
                <w:iCs w:val="false"/>
                <w:color w:val="000000"/>
              </w:rPr>
              <w:t xml:space="preserve">HasCrCard</w:t>
            </w:r>
          </w:p>
        </w:tc>
        <w:tc>
          <w:tcPr>
            <w:tcW w:type="dxa" w:w="2246"/>
            <w:shd w:fill="F2F2F2" w:val="clear"/>
            <w:tcMar>
              <w:top w:type="dxa" w:w="80"/>
              <w:left w:type="dxa" w:w="120"/>
              <w:bottom w:type="dxa" w:w="80"/>
              <w:right w:type="dxa" w:w="120"/>
            </w:tcMar>
          </w:tcPr>
          <w:p>
            <w:pPr>
              <w:jc w:val="center"/>
            </w:pPr>
            <w:r>
              <w:rPr>
                <w:b w:val="false"/>
                <w:bCs w:val="false"/>
                <w:i w:val="false"/>
                <w:iCs w:val="false"/>
                <w:color w:val="000000"/>
              </w:rPr>
              <w:t xml:space="preserve">Binary</w:t>
            </w:r>
          </w:p>
        </w:tc>
        <w:tc>
          <w:tcPr>
            <w:tcW w:type="dxa" w:w="4680"/>
            <w:shd w:fill="F2F2F2" w:val="clear"/>
            <w:tcMar>
              <w:top w:type="dxa" w:w="80"/>
              <w:left w:type="dxa" w:w="120"/>
              <w:bottom w:type="dxa" w:w="80"/>
              <w:right w:type="dxa" w:w="120"/>
            </w:tcMar>
          </w:tcPr>
          <w:p>
            <w:pPr>
              <w:jc w:val="center"/>
            </w:pPr>
            <w:r>
              <w:rPr>
                <w:b w:val="false"/>
                <w:bCs w:val="false"/>
                <w:i w:val="false"/>
                <w:iCs w:val="false"/>
                <w:color w:val="000000"/>
              </w:rPr>
              <w:t xml:space="preserve">Secondary relationship signal</w:t>
            </w:r>
          </w:p>
        </w:tc>
      </w:tr>
      <w:tr>
        <w:tc>
          <w:tcPr>
            <w:tcW w:type="dxa" w:w="2434"/>
            <w:shd w:fill="FFFFFF" w:val="clear"/>
            <w:tcMar>
              <w:top w:type="dxa" w:w="80"/>
              <w:left w:type="dxa" w:w="120"/>
              <w:bottom w:type="dxa" w:w="80"/>
              <w:right w:type="dxa" w:w="120"/>
            </w:tcMar>
          </w:tcPr>
          <w:p>
            <w:pPr>
              <w:jc w:val="left"/>
            </w:pPr>
            <w:r>
              <w:rPr>
                <w:b w:val="false"/>
                <w:bCs w:val="false"/>
                <w:i w:val="false"/>
                <w:iCs w:val="false"/>
                <w:color w:val="000000"/>
              </w:rPr>
              <w:t xml:space="preserve">Balance</w:t>
            </w:r>
          </w:p>
        </w:tc>
        <w:tc>
          <w:tcPr>
            <w:tcW w:type="dxa" w:w="2246"/>
            <w:shd w:fill="FFFFFF" w:val="clear"/>
            <w:tcMar>
              <w:top w:type="dxa" w:w="80"/>
              <w:left w:type="dxa" w:w="120"/>
              <w:bottom w:type="dxa" w:w="80"/>
              <w:right w:type="dxa" w:w="120"/>
            </w:tcMar>
          </w:tcPr>
          <w:p>
            <w:pPr>
              <w:jc w:val="center"/>
            </w:pPr>
            <w:r>
              <w:rPr>
                <w:b w:val="false"/>
                <w:bCs w:val="false"/>
                <w:i w:val="false"/>
                <w:iCs w:val="false"/>
                <w:color w:val="000000"/>
              </w:rPr>
              <w:t xml:space="preserve">Continuous</w:t>
            </w:r>
          </w:p>
        </w:tc>
        <w:tc>
          <w:tcPr>
            <w:tcW w:type="dxa" w:w="4680"/>
            <w:shd w:fill="FFFFFF" w:val="clear"/>
            <w:tcMar>
              <w:top w:type="dxa" w:w="80"/>
              <w:left w:type="dxa" w:w="120"/>
              <w:bottom w:type="dxa" w:w="80"/>
              <w:right w:type="dxa" w:w="120"/>
            </w:tcMar>
          </w:tcPr>
          <w:p>
            <w:pPr>
              <w:jc w:val="center"/>
            </w:pPr>
            <w:r>
              <w:rPr>
                <w:b w:val="false"/>
                <w:bCs w:val="false"/>
                <w:i w:val="false"/>
                <w:iCs w:val="false"/>
                <w:color w:val="000000"/>
              </w:rPr>
              <w:t xml:space="preserve">Financial standing (liquid deposits)</w:t>
            </w:r>
          </w:p>
        </w:tc>
      </w:tr>
      <w:tr>
        <w:tc>
          <w:tcPr>
            <w:tcW w:type="dxa" w:w="2434"/>
            <w:shd w:fill="F2F2F2" w:val="clear"/>
            <w:tcMar>
              <w:top w:type="dxa" w:w="80"/>
              <w:left w:type="dxa" w:w="120"/>
              <w:bottom w:type="dxa" w:w="80"/>
              <w:right w:type="dxa" w:w="120"/>
            </w:tcMar>
          </w:tcPr>
          <w:p>
            <w:pPr>
              <w:jc w:val="left"/>
            </w:pPr>
            <w:r>
              <w:rPr>
                <w:b w:val="false"/>
                <w:bCs w:val="false"/>
                <w:i w:val="false"/>
                <w:iCs w:val="false"/>
                <w:color w:val="000000"/>
              </w:rPr>
              <w:t xml:space="preserve">EstimatedSalary</w:t>
            </w:r>
          </w:p>
        </w:tc>
        <w:tc>
          <w:tcPr>
            <w:tcW w:type="dxa" w:w="2246"/>
            <w:shd w:fill="F2F2F2" w:val="clear"/>
            <w:tcMar>
              <w:top w:type="dxa" w:w="80"/>
              <w:left w:type="dxa" w:w="120"/>
              <w:bottom w:type="dxa" w:w="80"/>
              <w:right w:type="dxa" w:w="120"/>
            </w:tcMar>
          </w:tcPr>
          <w:p>
            <w:pPr>
              <w:jc w:val="center"/>
            </w:pPr>
            <w:r>
              <w:rPr>
                <w:b w:val="false"/>
                <w:bCs w:val="false"/>
                <w:i w:val="false"/>
                <w:iCs w:val="false"/>
                <w:color w:val="000000"/>
              </w:rPr>
              <w:t xml:space="preserve">Continuous</w:t>
            </w:r>
          </w:p>
        </w:tc>
        <w:tc>
          <w:tcPr>
            <w:tcW w:type="dxa" w:w="4680"/>
            <w:shd w:fill="F2F2F2" w:val="clear"/>
            <w:tcMar>
              <w:top w:type="dxa" w:w="80"/>
              <w:left w:type="dxa" w:w="120"/>
              <w:bottom w:type="dxa" w:w="80"/>
              <w:right w:type="dxa" w:w="120"/>
            </w:tcMar>
          </w:tcPr>
          <w:p>
            <w:pPr>
              <w:jc w:val="center"/>
            </w:pPr>
            <w:r>
              <w:rPr>
                <w:b w:val="false"/>
                <w:bCs w:val="false"/>
                <w:i w:val="false"/>
                <w:iCs w:val="false"/>
                <w:color w:val="000000"/>
              </w:rPr>
              <w:t xml:space="preserve">Financial standing (income proxy)</w:t>
            </w:r>
          </w:p>
        </w:tc>
      </w:tr>
      <w:tr>
        <w:tc>
          <w:tcPr>
            <w:tcW w:type="dxa" w:w="2434"/>
            <w:shd w:fill="FFFFFF" w:val="clear"/>
            <w:tcMar>
              <w:top w:type="dxa" w:w="80"/>
              <w:left w:type="dxa" w:w="120"/>
              <w:bottom w:type="dxa" w:w="80"/>
              <w:right w:type="dxa" w:w="120"/>
            </w:tcMar>
          </w:tcPr>
          <w:p>
            <w:pPr>
              <w:jc w:val="left"/>
            </w:pPr>
            <w:r>
              <w:rPr>
                <w:b w:val="false"/>
                <w:bCs w:val="false"/>
                <w:i w:val="false"/>
                <w:iCs w:val="false"/>
                <w:color w:val="000000"/>
              </w:rPr>
              <w:t xml:space="preserve">Geography, Gender, Age, Tenure, CreditScore</w:t>
            </w:r>
          </w:p>
        </w:tc>
        <w:tc>
          <w:tcPr>
            <w:tcW w:type="dxa" w:w="2246"/>
            <w:shd w:fill="FFFFFF" w:val="clear"/>
            <w:tcMar>
              <w:top w:type="dxa" w:w="80"/>
              <w:left w:type="dxa" w:w="120"/>
              <w:bottom w:type="dxa" w:w="80"/>
              <w:right w:type="dxa" w:w="120"/>
            </w:tcMar>
          </w:tcPr>
          <w:p>
            <w:pPr>
              <w:jc w:val="center"/>
            </w:pPr>
            <w:r>
              <w:rPr>
                <w:b w:val="false"/>
                <w:bCs w:val="false"/>
                <w:i w:val="false"/>
                <w:iCs w:val="false"/>
                <w:color w:val="000000"/>
              </w:rPr>
              <w:t xml:space="preserve">Categorical / Continuous</w:t>
            </w:r>
          </w:p>
        </w:tc>
        <w:tc>
          <w:tcPr>
            <w:tcW w:type="dxa" w:w="4680"/>
            <w:shd w:fill="FFFFFF" w:val="clear"/>
            <w:tcMar>
              <w:top w:type="dxa" w:w="80"/>
              <w:left w:type="dxa" w:w="120"/>
              <w:bottom w:type="dxa" w:w="80"/>
              <w:right w:type="dxa" w:w="120"/>
            </w:tcMar>
          </w:tcPr>
          <w:p>
            <w:pPr>
              <w:jc w:val="center"/>
            </w:pPr>
            <w:r>
              <w:rPr>
                <w:b w:val="false"/>
                <w:bCs w:val="false"/>
                <w:i w:val="false"/>
                <w:iCs w:val="false"/>
                <w:color w:val="000000"/>
              </w:rPr>
              <w:t xml:space="preserve">Control / stability-check variables</w:t>
            </w:r>
          </w:p>
        </w:tc>
      </w:tr>
      <w:tr>
        <w:tc>
          <w:tcPr>
            <w:tcW w:type="dxa" w:w="2434"/>
            <w:shd w:fill="F2F2F2" w:val="clear"/>
            <w:tcMar>
              <w:top w:type="dxa" w:w="80"/>
              <w:left w:type="dxa" w:w="120"/>
              <w:bottom w:type="dxa" w:w="80"/>
              <w:right w:type="dxa" w:w="120"/>
            </w:tcMar>
          </w:tcPr>
          <w:p>
            <w:pPr>
              <w:jc w:val="left"/>
            </w:pPr>
            <w:r>
              <w:rPr>
                <w:b w:val="false"/>
                <w:bCs w:val="false"/>
                <w:i w:val="false"/>
                <w:iCs w:val="false"/>
                <w:color w:val="000000"/>
              </w:rPr>
              <w:t xml:space="preserve">Exited</w:t>
            </w:r>
          </w:p>
        </w:tc>
        <w:tc>
          <w:tcPr>
            <w:tcW w:type="dxa" w:w="2246"/>
            <w:shd w:fill="F2F2F2" w:val="clear"/>
            <w:tcMar>
              <w:top w:type="dxa" w:w="80"/>
              <w:left w:type="dxa" w:w="120"/>
              <w:bottom w:type="dxa" w:w="80"/>
              <w:right w:type="dxa" w:w="120"/>
            </w:tcMar>
          </w:tcPr>
          <w:p>
            <w:pPr>
              <w:jc w:val="center"/>
            </w:pPr>
            <w:r>
              <w:rPr>
                <w:b w:val="false"/>
                <w:bCs w:val="false"/>
                <w:i w:val="false"/>
                <w:iCs w:val="false"/>
                <w:color w:val="000000"/>
              </w:rPr>
              <w:t xml:space="preserve">Binary</w:t>
            </w:r>
          </w:p>
        </w:tc>
        <w:tc>
          <w:tcPr>
            <w:tcW w:type="dxa" w:w="4680"/>
            <w:shd w:fill="F2F2F2" w:val="clear"/>
            <w:tcMar>
              <w:top w:type="dxa" w:w="80"/>
              <w:left w:type="dxa" w:w="120"/>
              <w:bottom w:type="dxa" w:w="80"/>
              <w:right w:type="dxa" w:w="120"/>
            </w:tcMar>
          </w:tcPr>
          <w:p>
            <w:pPr>
              <w:jc w:val="center"/>
            </w:pPr>
            <w:r>
              <w:rPr>
                <w:b w:val="false"/>
                <w:bCs w:val="false"/>
                <w:i w:val="false"/>
                <w:iCs w:val="false"/>
                <w:color w:val="000000"/>
              </w:rPr>
              <w:t xml:space="preserve">Dependent variable (churn)</w:t>
            </w:r>
          </w:p>
        </w:tc>
      </w:tr>
    </w:tbl>
    <w:p>
      <w:pPr>
        <w:spacing w:after="160"/>
        <w:jc w:val="left"/>
      </w:pPr>
      <w:r>
        <w:rPr>
          <w:i/>
          <w:iCs/>
          <w:color w:val="595959"/>
        </w:rPr>
        <w:t xml:space="preserve">Note on construct validity: the dataset provides no granular behavioral measures (e.g., login frequency, transaction volume, service contacts). IsActiveMember is therefore treated as a proxy for engagement, and this limitation is discussed in Section 5.</w:t>
      </w:r>
    </w:p>
    <w:p>
      <w:pPr>
        <w:pStyle w:val="Heading2"/>
        <w:spacing w:after="120" w:before="280"/>
      </w:pPr>
      <w:r>
        <w:t xml:space="preserve">2.4 Analytical Procedure</w:t>
      </w:r>
    </w:p>
    <w:p>
      <w:pPr>
        <w:spacing w:after="160"/>
        <w:jc w:val="left"/>
      </w:pPr>
      <w:r>
        <w:t xml:space="preserve">The analysis proceeded through five sequential stages:</w:t>
      </w:r>
    </w:p>
    <w:p>
      <w:pPr>
        <w:pStyle w:val="ListParagraph"/>
        <w:numPr>
          <w:ilvl w:val="0"/>
          <w:numId w:val="3"/>
        </w:numPr>
        <w:spacing w:after="80"/>
      </w:pPr>
      <w:r>
        <w:rPr>
          <w:b/>
          <w:bCs/>
        </w:rPr>
        <w:t xml:space="preserve">Data Ingestion &amp; Validation — completeness, duplication, and binary-field integrity checks.</w:t>
      </w:r>
    </w:p>
    <w:p>
      <w:pPr>
        <w:pStyle w:val="ListParagraph"/>
        <w:numPr>
          <w:ilvl w:val="0"/>
          <w:numId w:val="3"/>
        </w:numPr>
        <w:spacing w:after="80"/>
      </w:pPr>
      <w:r>
        <w:rPr>
          <w:b/>
          <w:bCs/>
        </w:rPr>
        <w:t xml:space="preserve">Engagement Classification — construction of four mutually exclusive behavioral profiles from activity status, product count, and a data-driven high-balance threshold (75th percentile).</w:t>
      </w:r>
    </w:p>
    <w:p>
      <w:pPr>
        <w:pStyle w:val="ListParagraph"/>
        <w:numPr>
          <w:ilvl w:val="0"/>
          <w:numId w:val="3"/>
        </w:numPr>
        <w:spacing w:after="80"/>
      </w:pPr>
      <w:r>
        <w:rPr>
          <w:b/>
          <w:bCs/>
        </w:rPr>
        <w:t xml:space="preserve">Product Utilization Analysis — churn rate by product count, single- vs. multi-product comparison, and correlation testing.</w:t>
      </w:r>
    </w:p>
    <w:p>
      <w:pPr>
        <w:pStyle w:val="ListParagraph"/>
        <w:numPr>
          <w:ilvl w:val="0"/>
          <w:numId w:val="3"/>
        </w:numPr>
        <w:spacing w:after="80"/>
      </w:pPr>
      <w:r>
        <w:rPr>
          <w:b/>
          <w:bCs/>
        </w:rPr>
        <w:t xml:space="preserve">Financial Commitment vs. Engagement Analysis — balance-tier x activity cross-tabulation and salary-balance mismatch detection.</w:t>
      </w:r>
    </w:p>
    <w:p>
      <w:pPr>
        <w:pStyle w:val="ListParagraph"/>
        <w:numPr>
          <w:ilvl w:val="0"/>
          <w:numId w:val="3"/>
        </w:numPr>
        <w:spacing w:after="80"/>
      </w:pPr>
      <w:r>
        <w:rPr>
          <w:b/>
          <w:bCs/>
        </w:rPr>
        <w:t xml:space="preserve">Retention Strength Assessment — construction and validation of the composite Relationship Strength Index (RSI), including a stability check across Geography, Gender, and Age.</w:t>
      </w:r>
    </w:p>
    <w:p>
      <w:pPr>
        <w:spacing w:after="160"/>
        <w:jc w:val="left"/>
      </w:pPr>
      <w:r>
        <w:t xml:space="preserve">All analysis was performed in Python (pandas) using group-wise aggregation, cross-tabulation, and Pearson correlation; no predictive machine-learning model was fit, as the objective was explanatory/diagnostic rather than predictive.</w:t>
      </w:r>
    </w:p>
    <w:p>
      <w:r>
        <w:br w:type="page"/>
      </w:r>
    </w:p>
    <w:p>
      <w:pPr>
        <w:pStyle w:val="Heading1"/>
        <w:spacing w:after="160" w:before="360"/>
      </w:pPr>
      <w:r>
        <w:t xml:space="preserve">3. Results</w:t>
      </w:r>
    </w:p>
    <w:p>
      <w:pPr>
        <w:pStyle w:val="Heading2"/>
        <w:spacing w:after="120" w:before="280"/>
      </w:pPr>
      <w:r>
        <w:t xml:space="preserve">3.1 Data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1F3864" w:val="clear"/>
            <w:tcMar>
              <w:top w:type="dxa" w:w="80"/>
              <w:left w:type="dxa" w:w="120"/>
              <w:bottom w:type="dxa" w:w="80"/>
              <w:right w:type="dxa" w:w="120"/>
            </w:tcMar>
          </w:tcPr>
          <w:p>
            <w:pPr>
              <w:jc w:val="center"/>
            </w:pPr>
            <w:r>
              <w:rPr>
                <w:b/>
                <w:bCs/>
                <w:i w:val="false"/>
                <w:iCs w:val="false"/>
                <w:color w:val="FFFFFF"/>
              </w:rPr>
              <w:t xml:space="preserve">Check</w:t>
            </w:r>
          </w:p>
        </w:tc>
        <w:tc>
          <w:tcPr>
            <w:tcW w:type="dxa" w:w="5616"/>
            <w:shd w:fill="1F3864" w:val="clear"/>
            <w:tcMar>
              <w:top w:type="dxa" w:w="80"/>
              <w:left w:type="dxa" w:w="120"/>
              <w:bottom w:type="dxa" w:w="80"/>
              <w:right w:type="dxa" w:w="120"/>
            </w:tcMar>
          </w:tcPr>
          <w:p>
            <w:pPr>
              <w:jc w:val="center"/>
            </w:pPr>
            <w:r>
              <w:rPr>
                <w:b/>
                <w:bCs/>
                <w:i w:val="false"/>
                <w:iCs w:val="false"/>
                <w:color w:val="FFFFFF"/>
              </w:rPr>
              <w:t xml:space="preserve">Result</w:t>
            </w:r>
          </w:p>
        </w:tc>
      </w:tr>
      <w:tr>
        <w:tc>
          <w:tcPr>
            <w:tcW w:type="dxa" w:w="3744"/>
            <w:shd w:fill="F2F2F2" w:val="clear"/>
            <w:tcMar>
              <w:top w:type="dxa" w:w="80"/>
              <w:left w:type="dxa" w:w="120"/>
              <w:bottom w:type="dxa" w:w="80"/>
              <w:right w:type="dxa" w:w="120"/>
            </w:tcMar>
          </w:tcPr>
          <w:p>
            <w:pPr>
              <w:jc w:val="left"/>
            </w:pPr>
            <w:r>
              <w:rPr>
                <w:b w:val="false"/>
                <w:bCs w:val="false"/>
                <w:i w:val="false"/>
                <w:iCs w:val="false"/>
                <w:color w:val="000000"/>
              </w:rPr>
              <w:t xml:space="preserve">Missing values</w:t>
            </w:r>
          </w:p>
        </w:tc>
        <w:tc>
          <w:tcPr>
            <w:tcW w:type="dxa" w:w="5616"/>
            <w:shd w:fill="F2F2F2" w:val="clear"/>
            <w:tcMar>
              <w:top w:type="dxa" w:w="80"/>
              <w:left w:type="dxa" w:w="120"/>
              <w:bottom w:type="dxa" w:w="80"/>
              <w:right w:type="dxa" w:w="120"/>
            </w:tcMar>
          </w:tcPr>
          <w:p>
            <w:pPr>
              <w:jc w:val="center"/>
            </w:pPr>
            <w:r>
              <w:rPr>
                <w:b w:val="false"/>
                <w:bCs w:val="false"/>
                <w:i w:val="false"/>
                <w:iCs w:val="false"/>
                <w:color w:val="000000"/>
              </w:rPr>
              <w:t xml:space="preserve">None (0 nulls across all fields)</w:t>
            </w:r>
          </w:p>
        </w:tc>
      </w:tr>
      <w:tr>
        <w:tc>
          <w:tcPr>
            <w:tcW w:type="dxa" w:w="3744"/>
            <w:shd w:fill="FFFFFF" w:val="clear"/>
            <w:tcMar>
              <w:top w:type="dxa" w:w="80"/>
              <w:left w:type="dxa" w:w="120"/>
              <w:bottom w:type="dxa" w:w="80"/>
              <w:right w:type="dxa" w:w="120"/>
            </w:tcMar>
          </w:tcPr>
          <w:p>
            <w:pPr>
              <w:jc w:val="left"/>
            </w:pPr>
            <w:r>
              <w:rPr>
                <w:b w:val="false"/>
                <w:bCs w:val="false"/>
                <w:i w:val="false"/>
                <w:iCs w:val="false"/>
                <w:color w:val="000000"/>
              </w:rPr>
              <w:t xml:space="preserve">Duplicate records</w:t>
            </w:r>
          </w:p>
        </w:tc>
        <w:tc>
          <w:tcPr>
            <w:tcW w:type="dxa" w:w="5616"/>
            <w:shd w:fill="FFFFFF" w:val="clear"/>
            <w:tcMar>
              <w:top w:type="dxa" w:w="80"/>
              <w:left w:type="dxa" w:w="120"/>
              <w:bottom w:type="dxa" w:w="80"/>
              <w:right w:type="dxa" w:w="120"/>
            </w:tcMar>
          </w:tcPr>
          <w:p>
            <w:pPr>
              <w:jc w:val="center"/>
            </w:pPr>
            <w:r>
              <w:rPr>
                <w:b w:val="false"/>
                <w:bCs w:val="false"/>
                <w:i w:val="false"/>
                <w:iCs w:val="false"/>
                <w:color w:val="000000"/>
              </w:rPr>
              <w:t xml:space="preserve">None (10,000 unique CustomerIds)</w:t>
            </w:r>
          </w:p>
        </w:tc>
      </w:tr>
      <w:tr>
        <w:tc>
          <w:tcPr>
            <w:tcW w:type="dxa" w:w="3744"/>
            <w:shd w:fill="F2F2F2" w:val="clear"/>
            <w:tcMar>
              <w:top w:type="dxa" w:w="80"/>
              <w:left w:type="dxa" w:w="120"/>
              <w:bottom w:type="dxa" w:w="80"/>
              <w:right w:type="dxa" w:w="120"/>
            </w:tcMar>
          </w:tcPr>
          <w:p>
            <w:pPr>
              <w:jc w:val="left"/>
            </w:pPr>
            <w:r>
              <w:rPr>
                <w:b w:val="false"/>
                <w:bCs w:val="false"/>
                <w:i w:val="false"/>
                <w:iCs w:val="false"/>
                <w:color w:val="000000"/>
              </w:rPr>
              <w:t xml:space="preserve">Churn distribution</w:t>
            </w:r>
          </w:p>
        </w:tc>
        <w:tc>
          <w:tcPr>
            <w:tcW w:type="dxa" w:w="5616"/>
            <w:shd w:fill="F2F2F2" w:val="clear"/>
            <w:tcMar>
              <w:top w:type="dxa" w:w="80"/>
              <w:left w:type="dxa" w:w="120"/>
              <w:bottom w:type="dxa" w:w="80"/>
              <w:right w:type="dxa" w:w="120"/>
            </w:tcMar>
          </w:tcPr>
          <w:p>
            <w:pPr>
              <w:jc w:val="center"/>
            </w:pPr>
            <w:r>
              <w:rPr>
                <w:b w:val="false"/>
                <w:bCs w:val="false"/>
                <w:i w:val="false"/>
                <w:iCs w:val="false"/>
                <w:color w:val="000000"/>
              </w:rPr>
              <w:t xml:space="preserve">2,037 churned (20.4%) / 7,963 retained (79.6%)</w:t>
            </w:r>
          </w:p>
        </w:tc>
      </w:tr>
      <w:tr>
        <w:tc>
          <w:tcPr>
            <w:tcW w:type="dxa" w:w="3744"/>
            <w:shd w:fill="FFFFFF" w:val="clear"/>
            <w:tcMar>
              <w:top w:type="dxa" w:w="80"/>
              <w:left w:type="dxa" w:w="120"/>
              <w:bottom w:type="dxa" w:w="80"/>
              <w:right w:type="dxa" w:w="120"/>
            </w:tcMar>
          </w:tcPr>
          <w:p>
            <w:pPr>
              <w:jc w:val="left"/>
            </w:pPr>
            <w:r>
              <w:rPr>
                <w:b w:val="false"/>
                <w:bCs w:val="false"/>
                <w:i w:val="false"/>
                <w:iCs w:val="false"/>
                <w:color w:val="000000"/>
              </w:rPr>
              <w:t xml:space="preserve">Active member split</w:t>
            </w:r>
          </w:p>
        </w:tc>
        <w:tc>
          <w:tcPr>
            <w:tcW w:type="dxa" w:w="5616"/>
            <w:shd w:fill="FFFFFF" w:val="clear"/>
            <w:tcMar>
              <w:top w:type="dxa" w:w="80"/>
              <w:left w:type="dxa" w:w="120"/>
              <w:bottom w:type="dxa" w:w="80"/>
              <w:right w:type="dxa" w:w="120"/>
            </w:tcMar>
          </w:tcPr>
          <w:p>
            <w:pPr>
              <w:jc w:val="center"/>
            </w:pPr>
            <w:r>
              <w:rPr>
                <w:b w:val="false"/>
                <w:bCs w:val="false"/>
                <w:i w:val="false"/>
                <w:iCs w:val="false"/>
                <w:color w:val="000000"/>
              </w:rPr>
              <w:t xml:space="preserve">5,151 active / 4,849 inactive</w:t>
            </w:r>
          </w:p>
        </w:tc>
      </w:tr>
      <w:tr>
        <w:tc>
          <w:tcPr>
            <w:tcW w:type="dxa" w:w="3744"/>
            <w:shd w:fill="F2F2F2" w:val="clear"/>
            <w:tcMar>
              <w:top w:type="dxa" w:w="80"/>
              <w:left w:type="dxa" w:w="120"/>
              <w:bottom w:type="dxa" w:w="80"/>
              <w:right w:type="dxa" w:w="120"/>
            </w:tcMar>
          </w:tcPr>
          <w:p>
            <w:pPr>
              <w:jc w:val="left"/>
            </w:pPr>
            <w:r>
              <w:rPr>
                <w:b w:val="false"/>
                <w:bCs w:val="false"/>
                <w:i w:val="false"/>
                <w:iCs w:val="false"/>
                <w:color w:val="000000"/>
              </w:rPr>
              <w:t xml:space="preserve">Zero-balance customers</w:t>
            </w:r>
          </w:p>
        </w:tc>
        <w:tc>
          <w:tcPr>
            <w:tcW w:type="dxa" w:w="5616"/>
            <w:shd w:fill="F2F2F2" w:val="clear"/>
            <w:tcMar>
              <w:top w:type="dxa" w:w="80"/>
              <w:left w:type="dxa" w:w="120"/>
              <w:bottom w:type="dxa" w:w="80"/>
              <w:right w:type="dxa" w:w="120"/>
            </w:tcMar>
          </w:tcPr>
          <w:p>
            <w:pPr>
              <w:jc w:val="center"/>
            </w:pPr>
            <w:r>
              <w:rPr>
                <w:b w:val="false"/>
                <w:bCs w:val="false"/>
                <w:i w:val="false"/>
                <w:iCs w:val="false"/>
                <w:color w:val="000000"/>
              </w:rPr>
              <w:t xml:space="preserve">3,617 (36.2%)</w:t>
            </w:r>
          </w:p>
        </w:tc>
      </w:tr>
    </w:tbl>
    <w:p>
      <w:pPr>
        <w:pStyle w:val="Heading2"/>
        <w:spacing w:after="120" w:before="280"/>
      </w:pPr>
      <w:r>
        <w:t xml:space="preserve">3.2 Engagement and Churn (H1)</w:t>
      </w:r>
    </w:p>
    <w:p>
      <w:pPr>
        <w:spacing w:after="160"/>
        <w:jc w:val="left"/>
      </w:pPr>
      <w:r>
        <w:t xml:space="preserve">Active members churned at 14.3% versus 26.9% for inactive members overall — a churn rate roughly half as large for engaged customers. This pattern held across every engagement-derived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1F3864" w:val="clear"/>
            <w:tcMar>
              <w:top w:type="dxa" w:w="80"/>
              <w:left w:type="dxa" w:w="120"/>
              <w:bottom w:type="dxa" w:w="80"/>
              <w:right w:type="dxa" w:w="120"/>
            </w:tcMar>
          </w:tcPr>
          <w:p>
            <w:pPr>
              <w:jc w:val="center"/>
            </w:pPr>
            <w:r>
              <w:rPr>
                <w:b/>
                <w:bCs/>
                <w:i w:val="false"/>
                <w:iCs w:val="false"/>
                <w:color w:val="FFFFFF"/>
              </w:rPr>
              <w:t xml:space="preserve">Engagement Profile</w:t>
            </w:r>
          </w:p>
        </w:tc>
        <w:tc>
          <w:tcPr>
            <w:tcW w:type="dxa" w:w="2808"/>
            <w:shd w:fill="1F3864" w:val="clear"/>
            <w:tcMar>
              <w:top w:type="dxa" w:w="80"/>
              <w:left w:type="dxa" w:w="120"/>
              <w:bottom w:type="dxa" w:w="80"/>
              <w:right w:type="dxa" w:w="120"/>
            </w:tcMar>
          </w:tcPr>
          <w:p>
            <w:pPr>
              <w:jc w:val="center"/>
            </w:pPr>
            <w:r>
              <w:rPr>
                <w:b/>
                <w:bCs/>
                <w:i w:val="false"/>
                <w:iCs w:val="false"/>
                <w:color w:val="FFFFFF"/>
              </w:rPr>
              <w:t xml:space="preserve">Customers</w:t>
            </w:r>
          </w:p>
        </w:tc>
        <w:tc>
          <w:tcPr>
            <w:tcW w:type="dxa" w:w="2808"/>
            <w:shd w:fill="1F3864" w:val="clear"/>
            <w:tcMar>
              <w:top w:type="dxa" w:w="80"/>
              <w:left w:type="dxa" w:w="120"/>
              <w:bottom w:type="dxa" w:w="80"/>
              <w:right w:type="dxa" w:w="120"/>
            </w:tcMar>
          </w:tcPr>
          <w:p>
            <w:pPr>
              <w:jc w:val="center"/>
            </w:pPr>
            <w:r>
              <w:rPr>
                <w:b/>
                <w:bCs/>
                <w:i w:val="false"/>
                <w:iCs w:val="false"/>
                <w:color w:val="FFFFFF"/>
              </w:rPr>
              <w:t xml:space="preserve">Churn Rate</w:t>
            </w:r>
          </w:p>
        </w:tc>
      </w:tr>
      <w:tr>
        <w:tc>
          <w:tcPr>
            <w:tcW w:type="dxa" w:w="3744"/>
            <w:shd w:fill="F2F2F2" w:val="clear"/>
            <w:tcMar>
              <w:top w:type="dxa" w:w="80"/>
              <w:left w:type="dxa" w:w="120"/>
              <w:bottom w:type="dxa" w:w="80"/>
              <w:right w:type="dxa" w:w="120"/>
            </w:tcMar>
          </w:tcPr>
          <w:p>
            <w:pPr>
              <w:jc w:val="left"/>
            </w:pPr>
            <w:r>
              <w:rPr>
                <w:b w:val="false"/>
                <w:bCs w:val="false"/>
                <w:i w:val="false"/>
                <w:iCs w:val="false"/>
                <w:color w:val="000000"/>
              </w:rPr>
              <w:t xml:space="preserve">Inactive High-Balance</w:t>
            </w:r>
          </w:p>
        </w:tc>
        <w:tc>
          <w:tcPr>
            <w:tcW w:type="dxa" w:w="2808"/>
            <w:shd w:fill="F2F2F2" w:val="clear"/>
            <w:tcMar>
              <w:top w:type="dxa" w:w="80"/>
              <w:left w:type="dxa" w:w="120"/>
              <w:bottom w:type="dxa" w:w="80"/>
              <w:right w:type="dxa" w:w="120"/>
            </w:tcMar>
          </w:tcPr>
          <w:p>
            <w:pPr>
              <w:jc w:val="center"/>
            </w:pPr>
            <w:r>
              <w:rPr>
                <w:b w:val="false"/>
                <w:bCs w:val="false"/>
                <w:i w:val="false"/>
                <w:iCs w:val="false"/>
                <w:color w:val="000000"/>
              </w:rPr>
              <w:t xml:space="preserve">1,247 (12.5%)</w:t>
            </w:r>
          </w:p>
        </w:tc>
        <w:tc>
          <w:tcPr>
            <w:tcW w:type="dxa" w:w="2808"/>
            <w:shd w:fill="F2F2F2" w:val="clear"/>
            <w:tcMar>
              <w:top w:type="dxa" w:w="80"/>
              <w:left w:type="dxa" w:w="120"/>
              <w:bottom w:type="dxa" w:w="80"/>
              <w:right w:type="dxa" w:w="120"/>
            </w:tcMar>
          </w:tcPr>
          <w:p>
            <w:pPr>
              <w:jc w:val="center"/>
            </w:pPr>
            <w:r>
              <w:rPr>
                <w:b w:val="false"/>
                <w:bCs w:val="false"/>
                <w:i w:val="false"/>
                <w:iCs w:val="false"/>
                <w:color w:val="000000"/>
              </w:rPr>
              <w:t xml:space="preserve">30.5%</w:t>
            </w:r>
          </w:p>
        </w:tc>
      </w:tr>
      <w:tr>
        <w:tc>
          <w:tcPr>
            <w:tcW w:type="dxa" w:w="3744"/>
            <w:shd w:fill="FFFFFF" w:val="clear"/>
            <w:tcMar>
              <w:top w:type="dxa" w:w="80"/>
              <w:left w:type="dxa" w:w="120"/>
              <w:bottom w:type="dxa" w:w="80"/>
              <w:right w:type="dxa" w:w="120"/>
            </w:tcMar>
          </w:tcPr>
          <w:p>
            <w:pPr>
              <w:jc w:val="left"/>
            </w:pPr>
            <w:r>
              <w:rPr>
                <w:b w:val="false"/>
                <w:bCs w:val="false"/>
                <w:i w:val="false"/>
                <w:iCs w:val="false"/>
                <w:color w:val="000000"/>
              </w:rPr>
              <w:t xml:space="preserve">Inactive Disengaged</w:t>
            </w:r>
          </w:p>
        </w:tc>
        <w:tc>
          <w:tcPr>
            <w:tcW w:type="dxa" w:w="2808"/>
            <w:shd w:fill="FFFFFF" w:val="clear"/>
            <w:tcMar>
              <w:top w:type="dxa" w:w="80"/>
              <w:left w:type="dxa" w:w="120"/>
              <w:bottom w:type="dxa" w:w="80"/>
              <w:right w:type="dxa" w:w="120"/>
            </w:tcMar>
          </w:tcPr>
          <w:p>
            <w:pPr>
              <w:jc w:val="center"/>
            </w:pPr>
            <w:r>
              <w:rPr>
                <w:b w:val="false"/>
                <w:bCs w:val="false"/>
                <w:i w:val="false"/>
                <w:iCs w:val="false"/>
                <w:color w:val="000000"/>
              </w:rPr>
              <w:t xml:space="preserve">3,602 (36.0%)</w:t>
            </w:r>
          </w:p>
        </w:tc>
        <w:tc>
          <w:tcPr>
            <w:tcW w:type="dxa" w:w="2808"/>
            <w:shd w:fill="FFFFFF" w:val="clear"/>
            <w:tcMar>
              <w:top w:type="dxa" w:w="80"/>
              <w:left w:type="dxa" w:w="120"/>
              <w:bottom w:type="dxa" w:w="80"/>
              <w:right w:type="dxa" w:w="120"/>
            </w:tcMar>
          </w:tcPr>
          <w:p>
            <w:pPr>
              <w:jc w:val="center"/>
            </w:pPr>
            <w:r>
              <w:rPr>
                <w:b w:val="false"/>
                <w:bCs w:val="false"/>
                <w:i w:val="false"/>
                <w:iCs w:val="false"/>
                <w:color w:val="000000"/>
              </w:rPr>
              <w:t xml:space="preserve">25.6%</w:t>
            </w:r>
          </w:p>
        </w:tc>
      </w:tr>
      <w:tr>
        <w:tc>
          <w:tcPr>
            <w:tcW w:type="dxa" w:w="3744"/>
            <w:shd w:fill="F2F2F2" w:val="clear"/>
            <w:tcMar>
              <w:top w:type="dxa" w:w="80"/>
              <w:left w:type="dxa" w:w="120"/>
              <w:bottom w:type="dxa" w:w="80"/>
              <w:right w:type="dxa" w:w="120"/>
            </w:tcMar>
          </w:tcPr>
          <w:p>
            <w:pPr>
              <w:jc w:val="left"/>
            </w:pPr>
            <w:r>
              <w:rPr>
                <w:b w:val="false"/>
                <w:bCs w:val="false"/>
                <w:i w:val="false"/>
                <w:iCs w:val="false"/>
                <w:color w:val="000000"/>
              </w:rPr>
              <w:t xml:space="preserve">Active Low-Product</w:t>
            </w:r>
          </w:p>
        </w:tc>
        <w:tc>
          <w:tcPr>
            <w:tcW w:type="dxa" w:w="2808"/>
            <w:shd w:fill="F2F2F2" w:val="clear"/>
            <w:tcMar>
              <w:top w:type="dxa" w:w="80"/>
              <w:left w:type="dxa" w:w="120"/>
              <w:bottom w:type="dxa" w:w="80"/>
              <w:right w:type="dxa" w:w="120"/>
            </w:tcMar>
          </w:tcPr>
          <w:p>
            <w:pPr>
              <w:jc w:val="center"/>
            </w:pPr>
            <w:r>
              <w:rPr>
                <w:b w:val="false"/>
                <w:bCs w:val="false"/>
                <w:i w:val="false"/>
                <w:iCs w:val="false"/>
                <w:color w:val="000000"/>
              </w:rPr>
              <w:t xml:space="preserve">2,563 (25.6%)</w:t>
            </w:r>
          </w:p>
        </w:tc>
        <w:tc>
          <w:tcPr>
            <w:tcW w:type="dxa" w:w="2808"/>
            <w:shd w:fill="F2F2F2" w:val="clear"/>
            <w:tcMar>
              <w:top w:type="dxa" w:w="80"/>
              <w:left w:type="dxa" w:w="120"/>
              <w:bottom w:type="dxa" w:w="80"/>
              <w:right w:type="dxa" w:w="120"/>
            </w:tcMar>
          </w:tcPr>
          <w:p>
            <w:pPr>
              <w:jc w:val="center"/>
            </w:pPr>
            <w:r>
              <w:rPr>
                <w:b w:val="false"/>
                <w:bCs w:val="false"/>
                <w:i w:val="false"/>
                <w:iCs w:val="false"/>
                <w:color w:val="000000"/>
              </w:rPr>
              <w:t xml:space="preserve">18.9%</w:t>
            </w:r>
          </w:p>
        </w:tc>
      </w:tr>
      <w:tr>
        <w:tc>
          <w:tcPr>
            <w:tcW w:type="dxa" w:w="3744"/>
            <w:shd w:fill="FFFFFF" w:val="clear"/>
            <w:tcMar>
              <w:top w:type="dxa" w:w="80"/>
              <w:left w:type="dxa" w:w="120"/>
              <w:bottom w:type="dxa" w:w="80"/>
              <w:right w:type="dxa" w:w="120"/>
            </w:tcMar>
          </w:tcPr>
          <w:p>
            <w:pPr>
              <w:jc w:val="left"/>
            </w:pPr>
            <w:r>
              <w:rPr>
                <w:b w:val="false"/>
                <w:bCs w:val="false"/>
                <w:i w:val="false"/>
                <w:iCs w:val="false"/>
                <w:color w:val="000000"/>
              </w:rPr>
              <w:t xml:space="preserve">Active Engaged</w:t>
            </w:r>
          </w:p>
        </w:tc>
        <w:tc>
          <w:tcPr>
            <w:tcW w:type="dxa" w:w="2808"/>
            <w:shd w:fill="FFFFFF" w:val="clear"/>
            <w:tcMar>
              <w:top w:type="dxa" w:w="80"/>
              <w:left w:type="dxa" w:w="120"/>
              <w:bottom w:type="dxa" w:w="80"/>
              <w:right w:type="dxa" w:w="120"/>
            </w:tcMar>
          </w:tcPr>
          <w:p>
            <w:pPr>
              <w:jc w:val="center"/>
            </w:pPr>
            <w:r>
              <w:rPr>
                <w:b w:val="false"/>
                <w:bCs w:val="false"/>
                <w:i w:val="false"/>
                <w:iCs w:val="false"/>
                <w:color w:val="000000"/>
              </w:rPr>
              <w:t xml:space="preserve">2,588 (25.9%)</w:t>
            </w:r>
          </w:p>
        </w:tc>
        <w:tc>
          <w:tcPr>
            <w:tcW w:type="dxa" w:w="2808"/>
            <w:shd w:fill="FFFFFF" w:val="clear"/>
            <w:tcMar>
              <w:top w:type="dxa" w:w="80"/>
              <w:left w:type="dxa" w:w="120"/>
              <w:bottom w:type="dxa" w:w="80"/>
              <w:right w:type="dxa" w:w="120"/>
            </w:tcMar>
          </w:tcPr>
          <w:p>
            <w:pPr>
              <w:jc w:val="center"/>
            </w:pPr>
            <w:r>
              <w:rPr>
                <w:b w:val="false"/>
                <w:bCs w:val="false"/>
                <w:i w:val="false"/>
                <w:iCs w:val="false"/>
                <w:color w:val="000000"/>
              </w:rPr>
              <w:t xml:space="preserve">9.7%</w:t>
            </w:r>
          </w:p>
        </w:tc>
      </w:tr>
    </w:tbl>
    <w:p>
      <w:pPr>
        <w:pBdr>
          <w:left w:val="single" w:color="2E7D32" w:sz="24"/>
        </w:pBdr>
        <w:shd w:fill="E8F5E9" w:val="clear"/>
        <w:spacing w:after="200" w:before="120"/>
        <w:ind w:left="200"/>
      </w:pPr>
      <w:r>
        <w:rPr>
          <w:b/>
          <w:bCs/>
          <w:color w:val="2E7D32"/>
        </w:rPr>
        <w:t xml:space="preserve">Result: H1 is supported. Activity status distinguishes churn risk even among customers with comparable or higher balances.</w:t>
      </w:r>
    </w:p>
    <w:p>
      <w:pPr>
        <w:pStyle w:val="Heading2"/>
        <w:spacing w:after="120" w:before="280"/>
      </w:pPr>
      <w:r>
        <w:t xml:space="preserve">3.3 Product Depth and Churn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1F3864" w:val="clear"/>
            <w:tcMar>
              <w:top w:type="dxa" w:w="80"/>
              <w:left w:type="dxa" w:w="120"/>
              <w:bottom w:type="dxa" w:w="80"/>
              <w:right w:type="dxa" w:w="120"/>
            </w:tcMar>
          </w:tcPr>
          <w:p>
            <w:pPr>
              <w:jc w:val="center"/>
            </w:pPr>
            <w:r>
              <w:rPr>
                <w:b/>
                <w:bCs/>
                <w:i w:val="false"/>
                <w:iCs w:val="false"/>
                <w:color w:val="FFFFFF"/>
              </w:rPr>
              <w:t xml:space="preserve">Products Held</w:t>
            </w:r>
          </w:p>
        </w:tc>
        <w:tc>
          <w:tcPr>
            <w:tcW w:type="dxa" w:w="3089"/>
            <w:shd w:fill="1F3864" w:val="clear"/>
            <w:tcMar>
              <w:top w:type="dxa" w:w="80"/>
              <w:left w:type="dxa" w:w="120"/>
              <w:bottom w:type="dxa" w:w="80"/>
              <w:right w:type="dxa" w:w="120"/>
            </w:tcMar>
          </w:tcPr>
          <w:p>
            <w:pPr>
              <w:jc w:val="center"/>
            </w:pPr>
            <w:r>
              <w:rPr>
                <w:b/>
                <w:bCs/>
                <w:i w:val="false"/>
                <w:iCs w:val="false"/>
                <w:color w:val="FFFFFF"/>
              </w:rPr>
              <w:t xml:space="preserve">Customers</w:t>
            </w:r>
          </w:p>
        </w:tc>
        <w:tc>
          <w:tcPr>
            <w:tcW w:type="dxa" w:w="3089"/>
            <w:shd w:fill="1F3864" w:val="clear"/>
            <w:tcMar>
              <w:top w:type="dxa" w:w="80"/>
              <w:left w:type="dxa" w:w="120"/>
              <w:bottom w:type="dxa" w:w="80"/>
              <w:right w:type="dxa" w:w="120"/>
            </w:tcMar>
          </w:tcPr>
          <w:p>
            <w:pPr>
              <w:jc w:val="center"/>
            </w:pPr>
            <w:r>
              <w:rPr>
                <w:b/>
                <w:bCs/>
                <w:i w:val="false"/>
                <w:iCs w:val="false"/>
                <w:color w:val="FFFFFF"/>
              </w:rPr>
              <w:t xml:space="preserve">Churn Rate</w:t>
            </w:r>
          </w:p>
        </w:tc>
      </w:tr>
      <w:tr>
        <w:tc>
          <w:tcPr>
            <w:tcW w:type="dxa" w:w="3182"/>
            <w:shd w:fill="F2F2F2" w:val="clear"/>
            <w:tcMar>
              <w:top w:type="dxa" w:w="80"/>
              <w:left w:type="dxa" w:w="120"/>
              <w:bottom w:type="dxa" w:w="80"/>
              <w:right w:type="dxa" w:w="120"/>
            </w:tcMar>
          </w:tcPr>
          <w:p>
            <w:pPr>
              <w:jc w:val="left"/>
            </w:pPr>
            <w:r>
              <w:rPr>
                <w:b w:val="false"/>
                <w:bCs w:val="false"/>
                <w:i w:val="false"/>
                <w:iCs w:val="false"/>
                <w:color w:val="000000"/>
              </w:rPr>
              <w:t xml:space="preserve">1</w:t>
            </w:r>
          </w:p>
        </w:tc>
        <w:tc>
          <w:tcPr>
            <w:tcW w:type="dxa" w:w="3089"/>
            <w:shd w:fill="F2F2F2" w:val="clear"/>
            <w:tcMar>
              <w:top w:type="dxa" w:w="80"/>
              <w:left w:type="dxa" w:w="120"/>
              <w:bottom w:type="dxa" w:w="80"/>
              <w:right w:type="dxa" w:w="120"/>
            </w:tcMar>
          </w:tcPr>
          <w:p>
            <w:pPr>
              <w:jc w:val="center"/>
            </w:pPr>
            <w:r>
              <w:rPr>
                <w:b w:val="false"/>
                <w:bCs w:val="false"/>
                <w:i w:val="false"/>
                <w:iCs w:val="false"/>
                <w:color w:val="000000"/>
              </w:rPr>
              <w:t xml:space="preserve">5,084</w:t>
            </w:r>
          </w:p>
        </w:tc>
        <w:tc>
          <w:tcPr>
            <w:tcW w:type="dxa" w:w="3089"/>
            <w:shd w:fill="F2F2F2" w:val="clear"/>
            <w:tcMar>
              <w:top w:type="dxa" w:w="80"/>
              <w:left w:type="dxa" w:w="120"/>
              <w:bottom w:type="dxa" w:w="80"/>
              <w:right w:type="dxa" w:w="120"/>
            </w:tcMar>
          </w:tcPr>
          <w:p>
            <w:pPr>
              <w:jc w:val="center"/>
            </w:pPr>
            <w:r>
              <w:rPr>
                <w:b w:val="false"/>
                <w:bCs w:val="false"/>
                <w:i w:val="false"/>
                <w:iCs w:val="false"/>
                <w:color w:val="000000"/>
              </w:rPr>
              <w:t xml:space="preserve">27.7%</w:t>
            </w:r>
          </w:p>
        </w:tc>
      </w:tr>
      <w:tr>
        <w:tc>
          <w:tcPr>
            <w:tcW w:type="dxa" w:w="3182"/>
            <w:shd w:fill="FFFFFF" w:val="clear"/>
            <w:tcMar>
              <w:top w:type="dxa" w:w="80"/>
              <w:left w:type="dxa" w:w="120"/>
              <w:bottom w:type="dxa" w:w="80"/>
              <w:right w:type="dxa" w:w="120"/>
            </w:tcMar>
          </w:tcPr>
          <w:p>
            <w:pPr>
              <w:jc w:val="left"/>
            </w:pPr>
            <w:r>
              <w:rPr>
                <w:b w:val="false"/>
                <w:bCs w:val="false"/>
                <w:i w:val="false"/>
                <w:iCs w:val="false"/>
                <w:color w:val="000000"/>
              </w:rPr>
              <w:t xml:space="preserve">2</w:t>
            </w:r>
          </w:p>
        </w:tc>
        <w:tc>
          <w:tcPr>
            <w:tcW w:type="dxa" w:w="3089"/>
            <w:shd w:fill="FFFFFF" w:val="clear"/>
            <w:tcMar>
              <w:top w:type="dxa" w:w="80"/>
              <w:left w:type="dxa" w:w="120"/>
              <w:bottom w:type="dxa" w:w="80"/>
              <w:right w:type="dxa" w:w="120"/>
            </w:tcMar>
          </w:tcPr>
          <w:p>
            <w:pPr>
              <w:jc w:val="center"/>
            </w:pPr>
            <w:r>
              <w:rPr>
                <w:b w:val="false"/>
                <w:bCs w:val="false"/>
                <w:i w:val="false"/>
                <w:iCs w:val="false"/>
                <w:color w:val="000000"/>
              </w:rPr>
              <w:t xml:space="preserve">4,590</w:t>
            </w:r>
          </w:p>
        </w:tc>
        <w:tc>
          <w:tcPr>
            <w:tcW w:type="dxa" w:w="3089"/>
            <w:shd w:fill="FFFFFF" w:val="clear"/>
            <w:tcMar>
              <w:top w:type="dxa" w:w="80"/>
              <w:left w:type="dxa" w:w="120"/>
              <w:bottom w:type="dxa" w:w="80"/>
              <w:right w:type="dxa" w:w="120"/>
            </w:tcMar>
          </w:tcPr>
          <w:p>
            <w:pPr>
              <w:jc w:val="center"/>
            </w:pPr>
            <w:r>
              <w:rPr>
                <w:b w:val="false"/>
                <w:bCs w:val="false"/>
                <w:i w:val="false"/>
                <w:iCs w:val="false"/>
                <w:color w:val="000000"/>
              </w:rPr>
              <w:t xml:space="preserve">7.6%</w:t>
            </w:r>
          </w:p>
        </w:tc>
      </w:tr>
      <w:tr>
        <w:tc>
          <w:tcPr>
            <w:tcW w:type="dxa" w:w="3182"/>
            <w:shd w:fill="F2F2F2" w:val="clear"/>
            <w:tcMar>
              <w:top w:type="dxa" w:w="80"/>
              <w:left w:type="dxa" w:w="120"/>
              <w:bottom w:type="dxa" w:w="80"/>
              <w:right w:type="dxa" w:w="120"/>
            </w:tcMar>
          </w:tcPr>
          <w:p>
            <w:pPr>
              <w:jc w:val="left"/>
            </w:pPr>
            <w:r>
              <w:rPr>
                <w:b w:val="false"/>
                <w:bCs w:val="false"/>
                <w:i w:val="false"/>
                <w:iCs w:val="false"/>
                <w:color w:val="000000"/>
              </w:rPr>
              <w:t xml:space="preserve">3</w:t>
            </w:r>
          </w:p>
        </w:tc>
        <w:tc>
          <w:tcPr>
            <w:tcW w:type="dxa" w:w="3089"/>
            <w:shd w:fill="F2F2F2" w:val="clear"/>
            <w:tcMar>
              <w:top w:type="dxa" w:w="80"/>
              <w:left w:type="dxa" w:w="120"/>
              <w:bottom w:type="dxa" w:w="80"/>
              <w:right w:type="dxa" w:w="120"/>
            </w:tcMar>
          </w:tcPr>
          <w:p>
            <w:pPr>
              <w:jc w:val="center"/>
            </w:pPr>
            <w:r>
              <w:rPr>
                <w:b w:val="false"/>
                <w:bCs w:val="false"/>
                <w:i w:val="false"/>
                <w:iCs w:val="false"/>
                <w:color w:val="000000"/>
              </w:rPr>
              <w:t xml:space="preserve">266</w:t>
            </w:r>
          </w:p>
        </w:tc>
        <w:tc>
          <w:tcPr>
            <w:tcW w:type="dxa" w:w="3089"/>
            <w:shd w:fill="F2F2F2" w:val="clear"/>
            <w:tcMar>
              <w:top w:type="dxa" w:w="80"/>
              <w:left w:type="dxa" w:w="120"/>
              <w:bottom w:type="dxa" w:w="80"/>
              <w:right w:type="dxa" w:w="120"/>
            </w:tcMar>
          </w:tcPr>
          <w:p>
            <w:pPr>
              <w:jc w:val="center"/>
            </w:pPr>
            <w:r>
              <w:rPr>
                <w:b w:val="false"/>
                <w:bCs w:val="false"/>
                <w:i w:val="false"/>
                <w:iCs w:val="false"/>
                <w:color w:val="000000"/>
              </w:rPr>
              <w:t xml:space="preserve">82.7%</w:t>
            </w:r>
          </w:p>
        </w:tc>
      </w:tr>
      <w:tr>
        <w:tc>
          <w:tcPr>
            <w:tcW w:type="dxa" w:w="3182"/>
            <w:shd w:fill="FFFFFF" w:val="clear"/>
            <w:tcMar>
              <w:top w:type="dxa" w:w="80"/>
              <w:left w:type="dxa" w:w="120"/>
              <w:bottom w:type="dxa" w:w="80"/>
              <w:right w:type="dxa" w:w="120"/>
            </w:tcMar>
          </w:tcPr>
          <w:p>
            <w:pPr>
              <w:jc w:val="left"/>
            </w:pPr>
            <w:r>
              <w:rPr>
                <w:b w:val="false"/>
                <w:bCs w:val="false"/>
                <w:i w:val="false"/>
                <w:iCs w:val="false"/>
                <w:color w:val="000000"/>
              </w:rPr>
              <w:t xml:space="preserve">4</w:t>
            </w:r>
          </w:p>
        </w:tc>
        <w:tc>
          <w:tcPr>
            <w:tcW w:type="dxa" w:w="3089"/>
            <w:shd w:fill="FFFFFF" w:val="clear"/>
            <w:tcMar>
              <w:top w:type="dxa" w:w="80"/>
              <w:left w:type="dxa" w:w="120"/>
              <w:bottom w:type="dxa" w:w="80"/>
              <w:right w:type="dxa" w:w="120"/>
            </w:tcMar>
          </w:tcPr>
          <w:p>
            <w:pPr>
              <w:jc w:val="center"/>
            </w:pPr>
            <w:r>
              <w:rPr>
                <w:b w:val="false"/>
                <w:bCs w:val="false"/>
                <w:i w:val="false"/>
                <w:iCs w:val="false"/>
                <w:color w:val="000000"/>
              </w:rPr>
              <w:t xml:space="preserve">60</w:t>
            </w:r>
          </w:p>
        </w:tc>
        <w:tc>
          <w:tcPr>
            <w:tcW w:type="dxa" w:w="3089"/>
            <w:shd w:fill="FFFFFF" w:val="clear"/>
            <w:tcMar>
              <w:top w:type="dxa" w:w="80"/>
              <w:left w:type="dxa" w:w="120"/>
              <w:bottom w:type="dxa" w:w="80"/>
              <w:right w:type="dxa" w:w="120"/>
            </w:tcMar>
          </w:tcPr>
          <w:p>
            <w:pPr>
              <w:jc w:val="center"/>
            </w:pPr>
            <w:r>
              <w:rPr>
                <w:b w:val="false"/>
                <w:bCs w:val="false"/>
                <w:i w:val="false"/>
                <w:iCs w:val="false"/>
                <w:color w:val="000000"/>
              </w:rPr>
              <w:t xml:space="preserve">100.0%</w:t>
            </w:r>
          </w:p>
        </w:tc>
      </w:tr>
    </w:tbl>
    <w:p>
      <w:pPr>
        <w:spacing w:after="160"/>
        <w:jc w:val="left"/>
      </w:pPr>
      <w:r>
        <w:t xml:space="preserve">The Pearson correlation between NumOfProducts and Exited was r = -0.048, indicating an essentially flat linear relationship. However, the tabulated churn rates show a pronounced non-linear ("spike") pattern: churn falls sharply from 1 to 2 products, then rises catastrophically at 3-4 products.</w:t>
      </w:r>
    </w:p>
    <w:p>
      <w:pPr>
        <w:pBdr>
          <w:left w:val="single" w:color="2E7D32" w:sz="24"/>
        </w:pBdr>
        <w:shd w:fill="E8F5E9" w:val="clear"/>
        <w:spacing w:after="200" w:before="120"/>
        <w:ind w:left="200"/>
      </w:pPr>
      <w:r>
        <w:rPr>
          <w:b/>
          <w:bCs/>
          <w:color w:val="2E7D32"/>
        </w:rPr>
        <w:t xml:space="preserve">Result: H2 is supported. The relationship is non-monotonic, not linear — a single correlation coefficient masks a critical interior optimum at 2 products and a severe risk zone at 3+ products.</w:t>
      </w:r>
    </w:p>
    <w:p>
      <w:pPr>
        <w:pStyle w:val="Heading2"/>
        <w:spacing w:after="120" w:before="280"/>
      </w:pPr>
      <w:r>
        <w:t xml:space="preserve">3.4 Composite Index Performance (H3)</w:t>
      </w:r>
    </w:p>
    <w:p>
      <w:pPr>
        <w:spacing w:after="160"/>
        <w:jc w:val="left"/>
      </w:pPr>
      <w:r>
        <w:t xml:space="preserve">The Relationship Strength Index (RSI, range 0-6) was constructed as the sum of an Activity score (0 or 2), a non-linear Product score (1 point for 1 product, 3 points for 2 products, 0 points for 3+ products), and a Card-ownership score (0 or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1F3864" w:val="clear"/>
            <w:tcMar>
              <w:top w:type="dxa" w:w="80"/>
              <w:left w:type="dxa" w:w="120"/>
              <w:bottom w:type="dxa" w:w="80"/>
              <w:right w:type="dxa" w:w="120"/>
            </w:tcMar>
          </w:tcPr>
          <w:p>
            <w:pPr>
              <w:jc w:val="center"/>
            </w:pPr>
            <w:r>
              <w:rPr>
                <w:b/>
                <w:bCs/>
                <w:i w:val="false"/>
                <w:iCs w:val="false"/>
                <w:color w:val="FFFFFF"/>
              </w:rPr>
              <w:t xml:space="preserve">RSI Score</w:t>
            </w:r>
          </w:p>
        </w:tc>
        <w:tc>
          <w:tcPr>
            <w:tcW w:type="dxa" w:w="3276"/>
            <w:shd w:fill="1F3864" w:val="clear"/>
            <w:tcMar>
              <w:top w:type="dxa" w:w="80"/>
              <w:left w:type="dxa" w:w="120"/>
              <w:bottom w:type="dxa" w:w="80"/>
              <w:right w:type="dxa" w:w="120"/>
            </w:tcMar>
          </w:tcPr>
          <w:p>
            <w:pPr>
              <w:jc w:val="center"/>
            </w:pPr>
            <w:r>
              <w:rPr>
                <w:b/>
                <w:bCs/>
                <w:i w:val="false"/>
                <w:iCs w:val="false"/>
                <w:color w:val="FFFFFF"/>
              </w:rPr>
              <w:t xml:space="preserve">Customers</w:t>
            </w:r>
          </w:p>
        </w:tc>
        <w:tc>
          <w:tcPr>
            <w:tcW w:type="dxa" w:w="3276"/>
            <w:shd w:fill="1F3864" w:val="clear"/>
            <w:tcMar>
              <w:top w:type="dxa" w:w="80"/>
              <w:left w:type="dxa" w:w="120"/>
              <w:bottom w:type="dxa" w:w="80"/>
              <w:right w:type="dxa" w:w="120"/>
            </w:tcMar>
          </w:tcPr>
          <w:p>
            <w:pPr>
              <w:jc w:val="center"/>
            </w:pPr>
            <w:r>
              <w:rPr>
                <w:b/>
                <w:bCs/>
                <w:i w:val="false"/>
                <w:iCs w:val="false"/>
                <w:color w:val="FFFFFF"/>
              </w:rPr>
              <w:t xml:space="preserve">Churn Rate</w:t>
            </w:r>
          </w:p>
        </w:tc>
      </w:tr>
      <w:tr>
        <w:tc>
          <w:tcPr>
            <w:tcW w:type="dxa" w:w="2808"/>
            <w:shd w:fill="F2F2F2" w:val="clear"/>
            <w:tcMar>
              <w:top w:type="dxa" w:w="80"/>
              <w:left w:type="dxa" w:w="120"/>
              <w:bottom w:type="dxa" w:w="80"/>
              <w:right w:type="dxa" w:w="120"/>
            </w:tcMar>
          </w:tcPr>
          <w:p>
            <w:pPr>
              <w:jc w:val="left"/>
            </w:pPr>
            <w:r>
              <w:rPr>
                <w:b w:val="false"/>
                <w:bCs w:val="false"/>
                <w:i w:val="false"/>
                <w:iCs w:val="false"/>
                <w:color w:val="000000"/>
              </w:rPr>
              <w:t xml:space="preserve">0</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50</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92.0%</w:t>
            </w:r>
          </w:p>
        </w:tc>
      </w:tr>
      <w:tr>
        <w:tc>
          <w:tcPr>
            <w:tcW w:type="dxa" w:w="2808"/>
            <w:shd w:fill="FFFFFF" w:val="clear"/>
            <w:tcMar>
              <w:top w:type="dxa" w:w="80"/>
              <w:left w:type="dxa" w:w="120"/>
              <w:bottom w:type="dxa" w:w="80"/>
              <w:right w:type="dxa" w:w="120"/>
            </w:tcMar>
          </w:tcPr>
          <w:p>
            <w:pPr>
              <w:jc w:val="left"/>
            </w:pPr>
            <w:r>
              <w:rPr>
                <w:b w:val="false"/>
                <w:bCs w:val="false"/>
                <w:i w:val="false"/>
                <w:iCs w:val="false"/>
                <w:color w:val="000000"/>
              </w:rPr>
              <w:t xml:space="preserve">1</w:t>
            </w:r>
          </w:p>
        </w:tc>
        <w:tc>
          <w:tcPr>
            <w:tcW w:type="dxa" w:w="3276"/>
            <w:shd w:fill="FFFFFF" w:val="clear"/>
            <w:tcMar>
              <w:top w:type="dxa" w:w="80"/>
              <w:left w:type="dxa" w:w="120"/>
              <w:bottom w:type="dxa" w:w="80"/>
              <w:right w:type="dxa" w:w="120"/>
            </w:tcMar>
          </w:tcPr>
          <w:p>
            <w:pPr>
              <w:jc w:val="center"/>
            </w:pPr>
            <w:r>
              <w:rPr>
                <w:b w:val="false"/>
                <w:bCs w:val="false"/>
                <w:i w:val="false"/>
                <w:iCs w:val="false"/>
                <w:color w:val="000000"/>
              </w:rPr>
              <w:t xml:space="preserve">852</w:t>
            </w:r>
          </w:p>
        </w:tc>
        <w:tc>
          <w:tcPr>
            <w:tcW w:type="dxa" w:w="3276"/>
            <w:shd w:fill="FFFFFF" w:val="clear"/>
            <w:tcMar>
              <w:top w:type="dxa" w:w="80"/>
              <w:left w:type="dxa" w:w="120"/>
              <w:bottom w:type="dxa" w:w="80"/>
              <w:right w:type="dxa" w:w="120"/>
            </w:tcMar>
          </w:tcPr>
          <w:p>
            <w:pPr>
              <w:jc w:val="center"/>
            </w:pPr>
            <w:r>
              <w:rPr>
                <w:b w:val="false"/>
                <w:bCs w:val="false"/>
                <w:i w:val="false"/>
                <w:iCs w:val="false"/>
                <w:color w:val="000000"/>
              </w:rPr>
              <w:t xml:space="preserve">43.2%</w:t>
            </w:r>
          </w:p>
        </w:tc>
      </w:tr>
      <w:tr>
        <w:tc>
          <w:tcPr>
            <w:tcW w:type="dxa" w:w="2808"/>
            <w:shd w:fill="F2F2F2" w:val="clear"/>
            <w:tcMar>
              <w:top w:type="dxa" w:w="80"/>
              <w:left w:type="dxa" w:w="120"/>
              <w:bottom w:type="dxa" w:w="80"/>
              <w:right w:type="dxa" w:w="120"/>
            </w:tcMar>
          </w:tcPr>
          <w:p>
            <w:pPr>
              <w:jc w:val="left"/>
            </w:pPr>
            <w:r>
              <w:rPr>
                <w:b w:val="false"/>
                <w:bCs w:val="false"/>
                <w:i w:val="false"/>
                <w:iCs w:val="false"/>
                <w:color w:val="000000"/>
              </w:rPr>
              <w:t xml:space="preserve">2</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1,848</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38.6%</w:t>
            </w:r>
          </w:p>
        </w:tc>
      </w:tr>
      <w:tr>
        <w:tc>
          <w:tcPr>
            <w:tcW w:type="dxa" w:w="2808"/>
            <w:shd w:fill="FFFFFF" w:val="clear"/>
            <w:tcMar>
              <w:top w:type="dxa" w:w="80"/>
              <w:left w:type="dxa" w:w="120"/>
              <w:bottom w:type="dxa" w:w="80"/>
              <w:right w:type="dxa" w:w="120"/>
            </w:tcMar>
          </w:tcPr>
          <w:p>
            <w:pPr>
              <w:jc w:val="left"/>
            </w:pPr>
            <w:r>
              <w:rPr>
                <w:b w:val="false"/>
                <w:bCs w:val="false"/>
                <w:i w:val="false"/>
                <w:iCs w:val="false"/>
                <w:color w:val="000000"/>
              </w:rPr>
              <w:t xml:space="preserve">3</w:t>
            </w:r>
          </w:p>
        </w:tc>
        <w:tc>
          <w:tcPr>
            <w:tcW w:type="dxa" w:w="3276"/>
            <w:shd w:fill="FFFFFF" w:val="clear"/>
            <w:tcMar>
              <w:top w:type="dxa" w:w="80"/>
              <w:left w:type="dxa" w:w="120"/>
              <w:bottom w:type="dxa" w:w="80"/>
              <w:right w:type="dxa" w:w="120"/>
            </w:tcMar>
          </w:tcPr>
          <w:p>
            <w:pPr>
              <w:jc w:val="center"/>
            </w:pPr>
            <w:r>
              <w:rPr>
                <w:b w:val="false"/>
                <w:bCs w:val="false"/>
                <w:i w:val="false"/>
                <w:iCs w:val="false"/>
                <w:color w:val="000000"/>
              </w:rPr>
              <w:t xml:space="preserve">1,518</w:t>
            </w:r>
          </w:p>
        </w:tc>
        <w:tc>
          <w:tcPr>
            <w:tcW w:type="dxa" w:w="3276"/>
            <w:shd w:fill="FFFFFF" w:val="clear"/>
            <w:tcMar>
              <w:top w:type="dxa" w:w="80"/>
              <w:left w:type="dxa" w:w="120"/>
              <w:bottom w:type="dxa" w:w="80"/>
              <w:right w:type="dxa" w:w="120"/>
            </w:tcMar>
          </w:tcPr>
          <w:p>
            <w:pPr>
              <w:jc w:val="center"/>
            </w:pPr>
            <w:r>
              <w:rPr>
                <w:b w:val="false"/>
                <w:bCs w:val="false"/>
                <w:i w:val="false"/>
                <w:iCs w:val="false"/>
                <w:color w:val="000000"/>
              </w:rPr>
              <w:t xml:space="preserve">20.6%</w:t>
            </w:r>
          </w:p>
        </w:tc>
      </w:tr>
      <w:tr>
        <w:tc>
          <w:tcPr>
            <w:tcW w:type="dxa" w:w="2808"/>
            <w:shd w:fill="F2F2F2" w:val="clear"/>
            <w:tcMar>
              <w:top w:type="dxa" w:w="80"/>
              <w:left w:type="dxa" w:w="120"/>
              <w:bottom w:type="dxa" w:w="80"/>
              <w:right w:type="dxa" w:w="120"/>
            </w:tcMar>
          </w:tcPr>
          <w:p>
            <w:pPr>
              <w:jc w:val="left"/>
            </w:pPr>
            <w:r>
              <w:rPr>
                <w:b w:val="false"/>
                <w:bCs w:val="false"/>
                <w:i w:val="false"/>
                <w:iCs w:val="false"/>
                <w:color w:val="000000"/>
              </w:rPr>
              <w:t xml:space="preserve">4</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3,286</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14.0%</w:t>
            </w:r>
          </w:p>
        </w:tc>
      </w:tr>
      <w:tr>
        <w:tc>
          <w:tcPr>
            <w:tcW w:type="dxa" w:w="2808"/>
            <w:shd w:fill="FFFFFF" w:val="clear"/>
            <w:tcMar>
              <w:top w:type="dxa" w:w="80"/>
              <w:left w:type="dxa" w:w="120"/>
              <w:bottom w:type="dxa" w:w="80"/>
              <w:right w:type="dxa" w:w="120"/>
            </w:tcMar>
          </w:tcPr>
          <w:p>
            <w:pPr>
              <w:jc w:val="left"/>
            </w:pPr>
            <w:r>
              <w:rPr>
                <w:b w:val="false"/>
                <w:bCs w:val="false"/>
                <w:i w:val="false"/>
                <w:iCs w:val="false"/>
                <w:color w:val="000000"/>
              </w:rPr>
              <w:t xml:space="preserve">5</w:t>
            </w:r>
          </w:p>
        </w:tc>
        <w:tc>
          <w:tcPr>
            <w:tcW w:type="dxa" w:w="3276"/>
            <w:shd w:fill="FFFFFF" w:val="clear"/>
            <w:tcMar>
              <w:top w:type="dxa" w:w="80"/>
              <w:left w:type="dxa" w:w="120"/>
              <w:bottom w:type="dxa" w:w="80"/>
              <w:right w:type="dxa" w:w="120"/>
            </w:tcMar>
          </w:tcPr>
          <w:p>
            <w:pPr>
              <w:jc w:val="center"/>
            </w:pPr>
            <w:r>
              <w:rPr>
                <w:b w:val="false"/>
                <w:bCs w:val="false"/>
                <w:i w:val="false"/>
                <w:iCs w:val="false"/>
                <w:color w:val="000000"/>
              </w:rPr>
              <w:t xml:space="preserve">711</w:t>
            </w:r>
          </w:p>
        </w:tc>
        <w:tc>
          <w:tcPr>
            <w:tcW w:type="dxa" w:w="3276"/>
            <w:shd w:fill="FFFFFF" w:val="clear"/>
            <w:tcMar>
              <w:top w:type="dxa" w:w="80"/>
              <w:left w:type="dxa" w:w="120"/>
              <w:bottom w:type="dxa" w:w="80"/>
              <w:right w:type="dxa" w:w="120"/>
            </w:tcMar>
          </w:tcPr>
          <w:p>
            <w:pPr>
              <w:jc w:val="center"/>
            </w:pPr>
            <w:r>
              <w:rPr>
                <w:b w:val="false"/>
                <w:bCs w:val="false"/>
                <w:i w:val="false"/>
                <w:iCs w:val="false"/>
                <w:color w:val="000000"/>
              </w:rPr>
              <w:t xml:space="preserve">6.5%</w:t>
            </w:r>
          </w:p>
        </w:tc>
      </w:tr>
      <w:tr>
        <w:tc>
          <w:tcPr>
            <w:tcW w:type="dxa" w:w="2808"/>
            <w:shd w:fill="F2F2F2" w:val="clear"/>
            <w:tcMar>
              <w:top w:type="dxa" w:w="80"/>
              <w:left w:type="dxa" w:w="120"/>
              <w:bottom w:type="dxa" w:w="80"/>
              <w:right w:type="dxa" w:w="120"/>
            </w:tcMar>
          </w:tcPr>
          <w:p>
            <w:pPr>
              <w:jc w:val="left"/>
            </w:pPr>
            <w:r>
              <w:rPr>
                <w:b w:val="false"/>
                <w:bCs w:val="false"/>
                <w:i w:val="false"/>
                <w:iCs w:val="false"/>
                <w:color w:val="000000"/>
              </w:rPr>
              <w:t xml:space="preserve">6</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1,735</w:t>
            </w:r>
          </w:p>
        </w:tc>
        <w:tc>
          <w:tcPr>
            <w:tcW w:type="dxa" w:w="3276"/>
            <w:shd w:fill="F2F2F2" w:val="clear"/>
            <w:tcMar>
              <w:top w:type="dxa" w:w="80"/>
              <w:left w:type="dxa" w:w="120"/>
              <w:bottom w:type="dxa" w:w="80"/>
              <w:right w:type="dxa" w:w="120"/>
            </w:tcMar>
          </w:tcPr>
          <w:p>
            <w:pPr>
              <w:jc w:val="center"/>
            </w:pPr>
            <w:r>
              <w:rPr>
                <w:b w:val="false"/>
                <w:bCs w:val="false"/>
                <w:i w:val="false"/>
                <w:iCs w:val="false"/>
                <w:color w:val="000000"/>
              </w:rPr>
              <w:t xml:space="preserve">5.2%</w:t>
            </w:r>
          </w:p>
        </w:tc>
      </w:tr>
    </w:tbl>
    <w:p>
      <w:pPr>
        <w:spacing w:after="160"/>
        <w:jc w:val="left"/>
      </w:pPr>
      <w:r>
        <w:t xml:space="preserve">Unlike raw product count, RSI produces a monotonic decline in churn across its entire range (92% at RSI=0 to 5.2% at RSI=6), with a clear inflection point at RSI &gt;= 4, below which churn exceeds 15%, and above which it remains below 15%.</w:t>
      </w:r>
    </w:p>
    <w:p>
      <w:pPr>
        <w:pBdr>
          <w:left w:val="single" w:color="2E7D32" w:sz="24"/>
        </w:pBdr>
        <w:shd w:fill="E8F5E9" w:val="clear"/>
        <w:spacing w:after="200" w:before="120"/>
        <w:ind w:left="200"/>
      </w:pPr>
      <w:r>
        <w:rPr>
          <w:b/>
          <w:bCs/>
          <w:color w:val="2E7D32"/>
        </w:rPr>
        <w:t xml:space="preserve">Result: H3 is supported. The composite index is monotonic where none of its individual components are, demonstrating that engagement and product signals are complementary rather than redundant.</w:t>
      </w:r>
    </w:p>
    <w:p>
      <w:pPr>
        <w:pStyle w:val="Heading2"/>
        <w:spacing w:after="120" w:before="280"/>
      </w:pPr>
      <w:r>
        <w:t xml:space="preserve">3.5 Balance, Salary, and Churn (H4)</w:t>
      </w:r>
    </w:p>
    <w:p>
      <w:pPr>
        <w:spacing w:after="160"/>
        <w:jc w:val="left"/>
      </w:pPr>
      <w:r>
        <w:t xml:space="preserve">Within every balance tier, inactive customers churned at approximately twice the rate of active customers (e.g., High Balance tier: 30.6% inactive vs. 15.6% active), indicating balance does not offset disengagement risk.</w:t>
      </w:r>
    </w:p>
    <w:p>
      <w:pPr>
        <w:spacing w:after="160"/>
        <w:jc w:val="left"/>
      </w:pPr>
      <w:r>
        <w:t xml:space="preserve">A salary-balance mismatch analysis further showed that customers earning more than their balance would suggest ("High Salary / Low Balance", n = 2,585) churned at only 17.9% — lower than the reverse mismatch group ("High Balance / Low Salary", n = 1,163, churn 24.3%). Premium customers (top-quartile salary and high balance) who were also inactive churned at 32.5%, versus 17.6% for active premium customers — the largest single engagement-driven gap observed in the study.</w:t>
      </w:r>
    </w:p>
    <w:p>
      <w:pPr>
        <w:pBdr>
          <w:left w:val="single" w:color="2E7D32" w:sz="24"/>
        </w:pBdr>
        <w:shd w:fill="E8F5E9" w:val="clear"/>
        <w:spacing w:after="200" w:before="120"/>
        <w:ind w:left="200"/>
      </w:pPr>
      <w:r>
        <w:rPr>
          <w:b/>
          <w:bCs/>
          <w:color w:val="2E7D32"/>
        </w:rPr>
        <w:t xml:space="preserve">Result: H4 is supported. Balance size shows no protective effect against churn once activity status is accounted for; in this sample, engagement dominates wealth as a churn predictor.</w:t>
      </w:r>
    </w:p>
    <w:p>
      <w:pPr>
        <w:pStyle w:val="Heading2"/>
        <w:spacing w:after="120" w:before="280"/>
      </w:pPr>
      <w:r>
        <w:t xml:space="preserve">3.6 Stability of the RSI Across Subgroups</w:t>
      </w:r>
    </w:p>
    <w:p>
      <w:pPr>
        <w:spacing w:after="160"/>
        <w:jc w:val="left"/>
      </w:pPr>
      <w:r>
        <w:t xml:space="preserve">The RSI tier structure (At-Risk 0-1 / Moderate 2-3 / Sticky 4-6) produced consistent, well-separated churn rates by Gender, but was less stable across Geography and Age:</w:t>
      </w:r>
    </w:p>
    <w:p>
      <w:pPr>
        <w:pStyle w:val="ListParagraph"/>
        <w:numPr>
          <w:ilvl w:val="0"/>
          <w:numId w:val="2"/>
        </w:numPr>
        <w:spacing w:after="80"/>
      </w:pPr>
      <w:r>
        <w:rPr>
          <w:b w:val="false"/>
          <w:bCs w:val="false"/>
        </w:rPr>
        <w:t xml:space="preserve">Geography: Germany churned above France and Spain at every RSI tier (e.g., Sticky-tier churn ~17.9% in Germany vs. ~8% in France/Spain).</w:t>
      </w:r>
    </w:p>
    <w:p>
      <w:pPr>
        <w:pStyle w:val="ListParagraph"/>
        <w:numPr>
          <w:ilvl w:val="0"/>
          <w:numId w:val="2"/>
        </w:numPr>
        <w:spacing w:after="80"/>
      </w:pPr>
      <w:r>
        <w:rPr>
          <w:b w:val="false"/>
          <w:bCs w:val="false"/>
        </w:rPr>
        <w:t xml:space="preserve">Age: churn increased with age within every RSI tier (e.g., "Sticky" 51-60 year-olds churned at ~32%, versus ~5-10% for younger Sticky customers).</w:t>
      </w:r>
    </w:p>
    <w:p>
      <w:pPr>
        <w:spacing w:after="160"/>
        <w:jc w:val="left"/>
      </w:pPr>
      <w:r>
        <w:t xml:space="preserve">This indicates that Geography and Age carry churn-relevant information not captured by engagement or product signals alone, and should be modeled as additional, independent risk factors in any operational scoring system.</w:t>
      </w:r>
    </w:p>
    <w:p>
      <w:r>
        <w:br w:type="page"/>
      </w:r>
    </w:p>
    <w:p>
      <w:pPr>
        <w:pStyle w:val="Heading1"/>
        <w:spacing w:after="160" w:before="360"/>
      </w:pPr>
      <w:r>
        <w:t xml:space="preserve">4. Discussion</w:t>
      </w:r>
    </w:p>
    <w:p>
      <w:pPr>
        <w:spacing w:after="160"/>
        <w:jc w:val="left"/>
      </w:pPr>
      <w:r>
        <w:t xml:space="preserve">The results consistently support the study's central premise: engagement and relationship depth predict churn more reliably than financial standing. This has a direct practical implication for retention strategy design — targeting inactive customers for reactivation is likely to yield a larger reduction in churn than targeting customers by balance or income tier alone.</w:t>
      </w:r>
    </w:p>
    <w:p>
      <w:pPr>
        <w:spacing w:after="160"/>
        <w:jc w:val="left"/>
      </w:pPr>
      <w:r>
        <w:t xml:space="preserve">The non-monotonic product-count finding (H2) is the most strategically important nuance. A naive reading of "multi-product customers churn less" would recommend maximizing product count; this analysis shows that recommendation would be actively harmful past two products. The most plausible explanation is that 3-4 product ownership reflects either forced/bundled products taken under dissatisfaction, or an accumulation pattern that precedes exit (e.g., customers taking additional products shortly before leaving, or products added as part of a closing/restructuring process) rather than genuine loyalty. This distinction cannot be resolved definitively with cross-sectional data alone (see Limitations).</w:t>
      </w:r>
    </w:p>
    <w:p>
      <w:pPr>
        <w:spacing w:after="160"/>
        <w:jc w:val="left"/>
      </w:pPr>
      <w:r>
        <w:t xml:space="preserve">The success of the composite RSI over any single variable illustrates a broader methodological point: engagement and product-depth signals are complementary, not substitutable. A monotonic composite is operationally more useful than several individually noisy or non-monotonic predictors, because it supports a single, interpretable threshold (RSI &gt;= 4) for action.</w:t>
      </w:r>
    </w:p>
    <w:p>
      <w:pPr>
        <w:spacing w:after="160"/>
        <w:jc w:val="left"/>
      </w:pPr>
      <w:r>
        <w:t xml:space="preserve">The Geography and Age instability findings suggest the RSI should not be deployed as a sole decision rule. Germany's elevated churn at every engagement tier points to a market-specific factor (competitive, regulatory, or service-quality) outside the scope of this dataset, and age-related churn increases suggest life-stage factors (e.g., retirement, relocation) that engagement scoring does not capture.</w:t>
      </w:r>
    </w:p>
    <w:p>
      <w:pPr>
        <w:pStyle w:val="Heading1"/>
        <w:spacing w:after="160" w:before="360"/>
      </w:pPr>
      <w:r>
        <w:t xml:space="preserve">5. Limitations</w:t>
      </w:r>
    </w:p>
    <w:p>
      <w:pPr>
        <w:pStyle w:val="ListParagraph"/>
        <w:numPr>
          <w:ilvl w:val="0"/>
          <w:numId w:val="2"/>
        </w:numPr>
        <w:spacing w:after="80"/>
      </w:pPr>
      <w:r>
        <w:rPr>
          <w:b w:val="false"/>
          <w:bCs w:val="false"/>
        </w:rPr>
        <w:t xml:space="preserve">Cross-sectional design: the data represents a single time point, so causal direction cannot be established — e.g., whether disengagement causes churn or is an early symptom of a customer who has already decided to leave.</w:t>
      </w:r>
    </w:p>
    <w:p>
      <w:pPr>
        <w:pStyle w:val="ListParagraph"/>
        <w:numPr>
          <w:ilvl w:val="0"/>
          <w:numId w:val="2"/>
        </w:numPr>
        <w:spacing w:after="80"/>
      </w:pPr>
      <w:r>
        <w:rPr>
          <w:b w:val="false"/>
          <w:bCs w:val="false"/>
        </w:rPr>
        <w:t xml:space="preserve">Proxy measurement of engagement: IsActiveMember is a coarse binary field; true engagement (transaction frequency, digital logins, service contacts) was not available and could refine the Relationship Strength Index further.</w:t>
      </w:r>
    </w:p>
    <w:p>
      <w:pPr>
        <w:pStyle w:val="ListParagraph"/>
        <w:numPr>
          <w:ilvl w:val="0"/>
          <w:numId w:val="2"/>
        </w:numPr>
        <w:spacing w:after="80"/>
      </w:pPr>
      <w:r>
        <w:rPr>
          <w:b w:val="false"/>
          <w:bCs w:val="false"/>
        </w:rPr>
        <w:t xml:space="preserve">Unexplained Geography and Age effects: this study identifies that these factors matter but does not have the external data (e.g., local market conditions, competitor activity, life-event data) to explain why.</w:t>
      </w:r>
    </w:p>
    <w:p>
      <w:pPr>
        <w:pStyle w:val="ListParagraph"/>
        <w:numPr>
          <w:ilvl w:val="0"/>
          <w:numId w:val="2"/>
        </w:numPr>
        <w:spacing w:after="80"/>
      </w:pPr>
      <w:r>
        <w:rPr>
          <w:b w:val="false"/>
          <w:bCs w:val="false"/>
        </w:rPr>
        <w:t xml:space="preserve">The 3-4 product distress-signal interpretation is inferential; confirming it would require transaction-level or customer-service-interaction data not present in this dataset.</w:t>
      </w:r>
    </w:p>
    <w:p>
      <w:pPr>
        <w:pStyle w:val="ListParagraph"/>
        <w:numPr>
          <w:ilvl w:val="0"/>
          <w:numId w:val="2"/>
        </w:numPr>
        <w:spacing w:after="80"/>
      </w:pPr>
      <w:r>
        <w:rPr>
          <w:b w:val="false"/>
          <w:bCs w:val="false"/>
        </w:rPr>
        <w:t xml:space="preserve">No hold-out or predictive validation was performed; this study is explanatory/diagnostic, not a predictive churn model, and RSI thresholds should be re-validated if used for automated scoring.</w:t>
      </w:r>
    </w:p>
    <w:p>
      <w:pPr>
        <w:pStyle w:val="Heading1"/>
        <w:spacing w:after="160" w:before="360"/>
      </w:pPr>
      <w:r>
        <w:t xml:space="preserve">6. Conclusion and Recommendations</w:t>
      </w:r>
    </w:p>
    <w:p>
      <w:pPr>
        <w:spacing w:after="160"/>
        <w:jc w:val="left"/>
      </w:pPr>
      <w:r>
        <w:t xml:space="preserve">This research provides quantitative support for a behavior-first, rather than balance-first, approach to retention strategy in retail banking. Four evidence-based conclusions emerge:</w:t>
      </w:r>
    </w:p>
    <w:p>
      <w:pPr>
        <w:pStyle w:val="ListParagraph"/>
        <w:numPr>
          <w:ilvl w:val="0"/>
          <w:numId w:val="3"/>
        </w:numPr>
        <w:spacing w:after="80"/>
      </w:pPr>
      <w:r>
        <w:rPr>
          <w:b w:val="false"/>
          <w:bCs w:val="false"/>
        </w:rPr>
        <w:t xml:space="preserve">Engagement (activity status) is the single strongest and most consistent churn predictor identified, outperforming balance and salary at every level tested.</w:t>
      </w:r>
    </w:p>
    <w:p>
      <w:pPr>
        <w:pStyle w:val="ListParagraph"/>
        <w:numPr>
          <w:ilvl w:val="0"/>
          <w:numId w:val="3"/>
        </w:numPr>
        <w:spacing w:after="80"/>
      </w:pPr>
      <w:r>
        <w:rPr>
          <w:b w:val="false"/>
          <w:bCs w:val="false"/>
        </w:rPr>
        <w:t xml:space="preserve">Product depth should be managed as a categorical target (specifically, guiding customers toward exactly two products), not maximized, given the sharp distress signal at three or more products.</w:t>
      </w:r>
    </w:p>
    <w:p>
      <w:pPr>
        <w:pStyle w:val="ListParagraph"/>
        <w:numPr>
          <w:ilvl w:val="0"/>
          <w:numId w:val="3"/>
        </w:numPr>
        <w:spacing w:after="80"/>
      </w:pPr>
      <w:r>
        <w:rPr>
          <w:b w:val="false"/>
          <w:bCs w:val="false"/>
        </w:rPr>
        <w:t xml:space="preserve">A composite engagement-product index (RSI) is a stronger and more actionable retention KPI than any single behavioral or financial variable, with a validated action threshold at RSI &gt;= 4.</w:t>
      </w:r>
    </w:p>
    <w:p>
      <w:pPr>
        <w:pStyle w:val="ListParagraph"/>
        <w:numPr>
          <w:ilvl w:val="0"/>
          <w:numId w:val="3"/>
        </w:numPr>
        <w:spacing w:after="80"/>
      </w:pPr>
      <w:r>
        <w:rPr>
          <w:b w:val="false"/>
          <w:bCs w:val="false"/>
        </w:rPr>
        <w:t xml:space="preserve">High balance and high salary do not protect against churn when a customer is disengaged, making "silent churn" among premium customers a distinct and quantifiable risk category requiring dedicated monitoring.</w:t>
      </w:r>
    </w:p>
    <w:p>
      <w:pPr>
        <w:spacing w:after="160"/>
        <w:jc w:val="left"/>
      </w:pPr>
      <w:r>
        <w:t xml:space="preserve">These findings motivate the accompanying operational dashboard (Streamlit application), which translates the RSI, engagement profiles, and high-value-disengaged detection logic into a filterable monitoring tool for ongoing retention management.</w:t>
      </w:r>
    </w:p>
    <w:p>
      <w:pPr>
        <w:pBdr>
          <w:bottom w:val="single" w:color="BFBFBF" w:sz="6"/>
        </w:pBdr>
        <w:spacing w:after="240"/>
      </w:pPr>
    </w:p>
    <w:p>
      <w:pPr>
        <w:pStyle w:val="Heading1"/>
        <w:spacing w:after="160" w:before="360"/>
      </w:pPr>
      <w:r>
        <w:t xml:space="preserve">Appendix: Supporting Deliverables</w:t>
      </w:r>
    </w:p>
    <w:p>
      <w:pPr>
        <w:pStyle w:val="ListParagraph"/>
        <w:numPr>
          <w:ilvl w:val="0"/>
          <w:numId w:val="2"/>
        </w:numPr>
        <w:spacing w:after="80"/>
      </w:pPr>
      <w:r>
        <w:rPr>
          <w:b w:val="false"/>
          <w:bCs w:val="false"/>
        </w:rPr>
        <w:t xml:space="preserve">Step 1-5 Python analysis scripts (.py) and corresponding CSV result files</w:t>
      </w:r>
    </w:p>
    <w:p>
      <w:pPr>
        <w:pStyle w:val="ListParagraph"/>
        <w:numPr>
          <w:ilvl w:val="0"/>
          <w:numId w:val="2"/>
        </w:numPr>
        <w:spacing w:after="80"/>
      </w:pPr>
      <w:r>
        <w:rPr>
          <w:b w:val="false"/>
          <w:bCs w:val="false"/>
        </w:rPr>
        <w:t xml:space="preserve">Full customer-level dataset enriched with Engagement Profile, Balance Tier, Salary-Balance Mismatch Flag, and RSI Score/Tier</w:t>
      </w:r>
    </w:p>
    <w:p>
      <w:pPr>
        <w:pStyle w:val="ListParagraph"/>
        <w:numPr>
          <w:ilvl w:val="0"/>
          <w:numId w:val="2"/>
        </w:numPr>
        <w:spacing w:after="80"/>
      </w:pPr>
      <w:r>
        <w:rPr>
          <w:b w:val="false"/>
          <w:bCs w:val="false"/>
        </w:rPr>
        <w:t xml:space="preserve">Actionable target lists: At-Risk Premium customers and High-Value Disengaged customers</w:t>
      </w:r>
    </w:p>
    <w:p>
      <w:pPr>
        <w:pStyle w:val="ListParagraph"/>
        <w:numPr>
          <w:ilvl w:val="0"/>
          <w:numId w:val="2"/>
        </w:numPr>
        <w:spacing w:after="80"/>
      </w:pPr>
      <w:r>
        <w:rPr>
          <w:b w:val="false"/>
          <w:bCs w:val="false"/>
        </w:rPr>
        <w:t xml:space="preserve">Streamlit retention analytics dashboard (retention_dashboard.py) implementing the four modules validated in this research</w:t>
      </w:r>
    </w:p>
    <w:p>
      <w:pPr>
        <w:spacing w:after="160"/>
        <w:jc w:val="left"/>
      </w:pPr>
      <w:r>
        <w:t xml:space="preserve"/>
      </w:r>
    </w:p>
    <w:p>
      <w:pPr>
        <w:spacing w:after="160"/>
        <w:jc w:val="center"/>
      </w:pPr>
      <w:r>
        <w:rPr>
          <w:i/>
          <w:iCs/>
          <w:color w:val="595959"/>
        </w:rPr>
        <w:t xml:space="preserve">— End of Research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2026-09-27T09:49:30.559Z</dcterms:created>
  <dcterms:modified xsi:type="dcterms:W3CDTF">2026-09-27T09:49:30.568Z</dcterms:modified>
</cp:coreProperties>
</file>

<file path=docProps/custom.xml><?xml version="1.0" encoding="utf-8"?>
<Properties xmlns="http://schemas.openxmlformats.org/officeDocument/2006/custom-properties" xmlns:vt="http://schemas.openxmlformats.org/officeDocument/2006/docPropsVTypes"/>
</file>