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Customer Engagement &amp; Product Utilization</w:t>
      </w:r>
    </w:p>
    <w:p>
      <w:pPr>
        <w:spacing w:after="300"/>
        <w:jc w:val="center"/>
      </w:pPr>
      <w:r>
        <w:rPr>
          <w:b/>
          <w:bCs/>
          <w:color w:val="1F3864"/>
          <w:sz w:val="44"/>
          <w:szCs w:val="44"/>
        </w:rPr>
        <w:t xml:space="preserve">Analytics for Retention Strategy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Final Analytical Report</w:t>
      </w:r>
    </w:p>
    <w:p>
      <w:pPr>
        <w:spacing w:after="700"/>
        <w:jc w:val="center"/>
      </w:pPr>
      <w:r>
        <w:rPr>
          <w:color w:val="595959"/>
          <w:sz w:val="22"/>
          <w:szCs w:val="22"/>
        </w:rPr>
        <w:t xml:space="preserve">European Retail Bank Customer Base — 10,000 Customers</w:t>
      </w:r>
    </w:p>
    <w:p>
      <w:pPr>
        <w:spacing w:after="100"/>
        <w:jc w:val="center"/>
      </w:pPr>
      <w:r>
        <w:rPr>
          <w:sz w:val="20"/>
          <w:szCs w:val="20"/>
        </w:rPr>
        <w:t xml:space="preserve">Prepared for: Retention Strategy &amp; CRM Analytics Team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Scope: Data Validation • Engagement Segmentation • Product Utilization • Financial Commitment • Retention Strength Scoring • Dashboard</w:t>
      </w:r>
    </w:p>
    <w:p>
      <w:r>
        <w:br w:type="page"/>
      </w:r>
    </w:p>
    <w:p>
      <w:pPr>
        <w:pStyle w:val="Heading1"/>
        <w:spacing w:after="160" w:before="360"/>
      </w:pPr>
      <w:r>
        <w:t xml:space="preserve">Executive Summary</w:t>
      </w:r>
    </w:p>
    <w:p>
      <w:pPr>
        <w:spacing w:after="160"/>
        <w:jc w:val="left"/>
      </w:pPr>
      <w:r>
        <w:t xml:space="preserve">This analysis evaluates retention for a 10,000-customer European retail bank base through the lens of behavior and relationship depth, not just demographics or balance size. Overall churn is 20.4% (2,037 of 10,000 customers).</w:t>
      </w:r>
    </w:p>
    <w:p>
      <w:pPr>
        <w:spacing w:after="160"/>
        <w:jc w:val="left"/>
      </w:pPr>
      <w:r>
        <w:t xml:space="preserve">The single clearest finding across every step of this study: engagement, not wealth, drives retention. Active members churn at roughly one-third the rate of inactive members at every balance level, every product tier, and every income bracket tested. Balance and salary alone are poor predictors of loyalty.</w:t>
      </w:r>
    </w:p>
    <w:p>
      <w:pPr>
        <w:pBdr>
          <w:left w:val="single" w:color="1F3864" w:sz="24"/>
        </w:pBdr>
        <w:shd w:fill="DCE6F1" w:val="clear"/>
        <w:spacing w:after="200" w:before="120"/>
        <w:ind w:left="200"/>
      </w:pPr>
      <w:r>
        <w:rPr>
          <w:b/>
          <w:bCs/>
          <w:color w:val="1F3864"/>
        </w:rPr>
        <w:t xml:space="preserve">Headline number: customers scoring in the top Relationship Strength tier ("Sticky Customers") churn at 10.4%, versus 45.9% for the bottom tier — a &gt;4x retention gap explained by engagement and product depth, not income.</w:t>
      </w:r>
    </w:p>
    <w:p>
      <w:pPr>
        <w:spacing w:after="160"/>
        <w:jc w:val="left"/>
      </w:pPr>
      <w:r>
        <w:t xml:space="preserve">A second major finding complicates the common assumption that more products means more loyalty: 2 products is a genuine retention sweet spot (7.6% churn), but 3–4 products is a severe distress signal (83–100% churn), not a loyalty bonus. Product bundling strategy should target migrating customers to exactly 2 products, not maximizing product count.</w:t>
      </w:r>
    </w:p>
    <w:p>
      <w:pPr>
        <w:spacing w:after="160"/>
        <w:jc w:val="left"/>
      </w:pPr>
      <w:r>
        <w:t xml:space="preserve">A dedicated Streamlit dashboard was built to operationalize these findings for ongoing monitoring, with a specific module to surface high-value, disengaged customers for proactive retention outreach.</w:t>
      </w:r>
    </w:p>
    <w:p>
      <w:pPr>
        <w:pBdr>
          <w:bottom w:val="single" w:color="BFBFBF" w:sz="6"/>
        </w:pBdr>
        <w:spacing w:after="240"/>
      </w:pPr>
    </w:p>
    <w:p>
      <w:pPr>
        <w:pStyle w:val="Heading1"/>
        <w:spacing w:after="160" w:before="360"/>
      </w:pPr>
      <w:r>
        <w:t xml:space="preserve">1. Background and Context</w:t>
      </w:r>
    </w:p>
    <w:p>
      <w:pPr>
        <w:spacing w:after="160"/>
        <w:jc w:val="left"/>
      </w:pPr>
      <w:r>
        <w:t xml:space="preserve">Banks increasingly recognize that customer behavior and engagement — not just demographics — determine long-term retention. Customers may appear financially strong (high balance or salary) but still churn due to low engagement, limited product adoption, or weak relationship depth with the bank.</w:t>
      </w:r>
    </w:p>
    <w:p>
      <w:pPr>
        <w:spacing w:after="160"/>
        <w:jc w:val="left"/>
      </w:pPr>
      <w:r>
        <w:t xml:space="preserve">Understanding how customers use banking products and services is essential to designing cross-sell strategies, loyalty programs, and engagement-driven retention initiatives. This project evaluates retention through the lens of customer behavior and relationship strength.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60"/>
        <w:jc w:val="left"/>
      </w:pPr>
      <w:r>
        <w:t xml:space="preserve">Despite having data on customer engagement and product usage, banks often lack: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Quantitative insight into which behaviors drive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Clarity on whether product depth reduces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Evidence on whether high balances alone ensure loyalty</w:t>
      </w:r>
    </w:p>
    <w:p>
      <w:pPr>
        <w:spacing w:after="160"/>
        <w:jc w:val="left"/>
      </w:pPr>
      <w:r>
        <w:t xml:space="preserve">As a result, retention strategies are frequently generic and misaligned with actual customer behavior.</w:t>
      </w:r>
    </w:p>
    <w:p>
      <w:pPr>
        <w:pStyle w:val="Heading1"/>
        <w:spacing w:after="160" w:before="360"/>
      </w:pPr>
      <w:r>
        <w:t xml:space="preserve">3. Project Objectives</w:t>
      </w:r>
    </w:p>
    <w:p>
      <w:pPr>
        <w:pStyle w:val="Heading3"/>
        <w:spacing w:after="100" w:before="200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Evaluate the relationship between engagement and churn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Measure retention impact of product count and product mix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Identify disengaged yet high-value customers</w:t>
      </w:r>
    </w:p>
    <w:p>
      <w:pPr>
        <w:pStyle w:val="Heading3"/>
        <w:spacing w:after="100" w:before="200"/>
      </w:pPr>
      <w: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Support engagement-driven retention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Improve product bundling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Reduce silent churn among premium customers</w:t>
      </w:r>
    </w:p>
    <w:p>
      <w:pPr>
        <w:pStyle w:val="Heading1"/>
        <w:spacing w:after="160" w:before="360"/>
      </w:pPr>
      <w:r>
        <w:t xml:space="preserve">4. Key Performance Indicator (KPI)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931"/>
        <w:gridCol w:w="2995"/>
      </w:tblGrid>
      <w:tr>
        <w:trPr>
          <w:tblHeader/>
        </w:trPr>
        <w:tc>
          <w:tcPr>
            <w:tcW w:type="dxa" w:w="2434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 Name</w:t>
            </w:r>
          </w:p>
        </w:tc>
        <w:tc>
          <w:tcPr>
            <w:tcW w:type="dxa" w:w="393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99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 (this analysis)</w:t>
            </w:r>
          </w:p>
        </w:tc>
      </w:tr>
      <w:tr>
        <w:tc>
          <w:tcPr>
            <w:tcW w:type="dxa" w:w="2434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Engagement Retention Ratio</w:t>
            </w:r>
          </w:p>
        </w:tc>
        <w:tc>
          <w:tcPr>
            <w:tcW w:type="dxa" w:w="3931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Active vs. inactive churn comparison</w:t>
            </w:r>
          </w:p>
        </w:tc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Active 14.3% vs. Inactive 26.9% churn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 Depth Index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Products used vs. loyalty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Non-linear: 2 products optimal, 3-4 high-risk</w:t>
            </w:r>
          </w:p>
        </w:tc>
      </w:tr>
      <w:tr>
        <w:tc>
          <w:tcPr>
            <w:tcW w:type="dxa" w:w="2434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High-Balance Disengagement Rate</w:t>
            </w:r>
          </w:p>
        </w:tc>
        <w:tc>
          <w:tcPr>
            <w:tcW w:type="dxa" w:w="3931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Premium churn risk</w:t>
            </w:r>
          </w:p>
        </w:tc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Inactive High-Balance segment: 30.5% churn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Credit Card Stickiness Score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Card ownership retention impact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Included as +1 pt in Relationship Strength Index</w:t>
            </w:r>
          </w:p>
        </w:tc>
      </w:tr>
      <w:tr>
        <w:tc>
          <w:tcPr>
            <w:tcW w:type="dxa" w:w="2434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Relationship Strength Index (RSI)</w:t>
            </w:r>
          </w:p>
        </w:tc>
        <w:tc>
          <w:tcPr>
            <w:tcW w:type="dxa" w:w="3931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Combined engagement &amp; product score</w:t>
            </w:r>
          </w:p>
        </w:tc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0-6 scale; monotonic churn gradient 92% to 5%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Analytical Methodology and Findings</w:t>
      </w:r>
    </w:p>
    <w:p>
      <w:pPr>
        <w:pStyle w:val="Heading2"/>
        <w:spacing w:after="120" w:before="280"/>
      </w:pPr>
      <w:r>
        <w:t xml:space="preserve">Step 1 — Data Ingestion &amp; Validation</w:t>
      </w:r>
    </w:p>
    <w:p>
      <w:pPr>
        <w:spacing w:after="160"/>
        <w:jc w:val="left"/>
      </w:pPr>
      <w:r>
        <w:t xml:space="preserve">The dataset (10,000 customers, 14 fields) was validated for completeness and consistency before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14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21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Missing values</w:t>
            </w:r>
          </w:p>
        </w:tc>
        <w:tc>
          <w:tcPr>
            <w:tcW w:type="dxa" w:w="51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None — 0 nulls across all fields</w:t>
            </w:r>
          </w:p>
        </w:tc>
      </w:tr>
      <w:tr>
        <w:tc>
          <w:tcPr>
            <w:tcW w:type="dxa" w:w="42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Duplicate records</w:t>
            </w:r>
          </w:p>
        </w:tc>
        <w:tc>
          <w:tcPr>
            <w:tcW w:type="dxa" w:w="514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None — 10,000 unique CustomerIds</w:t>
            </w:r>
          </w:p>
        </w:tc>
      </w:tr>
      <w:tr>
        <w:tc>
          <w:tcPr>
            <w:tcW w:type="dxa" w:w="421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Binary field consistency (HasCrCard, IsActiveMember, Exited)</w:t>
            </w:r>
          </w:p>
        </w:tc>
        <w:tc>
          <w:tcPr>
            <w:tcW w:type="dxa" w:w="51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Clean 0/1 values, no stray codes</w:t>
            </w:r>
          </w:p>
        </w:tc>
      </w:tr>
      <w:tr>
        <w:tc>
          <w:tcPr>
            <w:tcW w:type="dxa" w:w="42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Churn label distribution</w:t>
            </w:r>
          </w:p>
        </w:tc>
        <w:tc>
          <w:tcPr>
            <w:tcW w:type="dxa" w:w="514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2,037 churned (20.4%) / 7,963 retained (79.6%)</w:t>
            </w:r>
          </w:p>
        </w:tc>
      </w:tr>
      <w:tr>
        <w:tc>
          <w:tcPr>
            <w:tcW w:type="dxa" w:w="421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Active member split</w:t>
            </w:r>
          </w:p>
        </w:tc>
        <w:tc>
          <w:tcPr>
            <w:tcW w:type="dxa" w:w="51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5,151 active / 4,849 inactive — near 50/50</w:t>
            </w:r>
          </w:p>
        </w:tc>
      </w:tr>
      <w:tr>
        <w:tc>
          <w:tcPr>
            <w:tcW w:type="dxa" w:w="421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Zero-balance customers</w:t>
            </w:r>
          </w:p>
        </w:tc>
        <w:tc>
          <w:tcPr>
            <w:tcW w:type="dxa" w:w="514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3,617 (36.2%) — segmented separately in later steps</w:t>
            </w:r>
          </w:p>
        </w:tc>
      </w:tr>
      <w:tr>
        <w:tc>
          <w:tcPr>
            <w:tcW w:type="dxa" w:w="421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Geography split</w:t>
            </w:r>
          </w:p>
        </w:tc>
        <w:tc>
          <w:tcPr>
            <w:tcW w:type="dxa" w:w="51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France 5,014 / Germany 2,509 / Spain 2,477</w:t>
            </w:r>
          </w:p>
        </w:tc>
      </w:tr>
    </w:tbl>
    <w:p>
      <w:pPr>
        <w:spacing w:after="160"/>
        <w:jc w:val="left"/>
      </w:pPr>
      <w:r>
        <w:rPr>
          <w:i/>
          <w:iCs/>
          <w:color w:val="595959"/>
        </w:rPr>
        <w:t xml:space="preserve">Note: the dataset's only true engagement signal is the binary IsActiveMember field — there is no granular behavioral data (login frequency, transaction counts). All engagement KPIs below are built as proxies from IsActiveMember, NumOfProducts, and HasCrCard.</w:t>
      </w:r>
    </w:p>
    <w:p>
      <w:pPr>
        <w:pStyle w:val="Heading2"/>
        <w:spacing w:after="120" w:before="280"/>
      </w:pPr>
      <w:r>
        <w:t xml:space="preserve">Step 2 — Engagement Classification</w:t>
      </w:r>
    </w:p>
    <w:p>
      <w:pPr>
        <w:spacing w:after="160"/>
        <w:jc w:val="left"/>
      </w:pPr>
      <w:r>
        <w:t xml:space="preserve">Four mutually exclusive engagement profiles were built from activity status, product count, and a high-balance threshold (75th percentile, ~$127,644):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059"/>
        <w:gridCol w:w="2059"/>
        <w:gridCol w:w="2246"/>
      </w:tblGrid>
      <w:tr>
        <w:trPr>
          <w:tblHeader/>
        </w:trPr>
        <w:tc>
          <w:tcPr>
            <w:tcW w:type="dxa" w:w="299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Engagement Profile</w:t>
            </w:r>
          </w:p>
        </w:tc>
        <w:tc>
          <w:tcPr>
            <w:tcW w:type="dxa" w:w="2059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2059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Churn Rate</w:t>
            </w:r>
          </w:p>
        </w:tc>
        <w:tc>
          <w:tcPr>
            <w:tcW w:type="dxa" w:w="224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Avg. Balance</w:t>
            </w:r>
          </w:p>
        </w:tc>
      </w:tr>
      <w:tr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Inactive High-Balance</w:t>
            </w:r>
          </w:p>
        </w:tc>
        <w:tc>
          <w:tcPr>
            <w:tcW w:type="dxa" w:w="205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1,247 (12.5%)</w:t>
            </w:r>
          </w:p>
        </w:tc>
        <w:tc>
          <w:tcPr>
            <w:tcW w:type="dxa" w:w="205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30.5%</w:t>
            </w:r>
          </w:p>
        </w:tc>
        <w:tc>
          <w:tcPr>
            <w:tcW w:type="dxa" w:w="224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$148,858</w:t>
            </w:r>
          </w:p>
        </w:tc>
      </w:tr>
      <w:tr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Inactive Disengaged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3,602 (36.0%)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25.6%</w:t>
            </w:r>
          </w:p>
        </w:tc>
        <w:tc>
          <w:tcPr>
            <w:tcW w:type="dxa" w:w="22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$52,304</w:t>
            </w:r>
          </w:p>
        </w:tc>
      </w:tr>
      <w:tr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Active Low-Product</w:t>
            </w:r>
          </w:p>
        </w:tc>
        <w:tc>
          <w:tcPr>
            <w:tcW w:type="dxa" w:w="205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2,563 (25.6%)</w:t>
            </w:r>
          </w:p>
        </w:tc>
        <w:tc>
          <w:tcPr>
            <w:tcW w:type="dxa" w:w="205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18.9%</w:t>
            </w:r>
          </w:p>
        </w:tc>
        <w:tc>
          <w:tcPr>
            <w:tcW w:type="dxa" w:w="224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$98,902</w:t>
            </w:r>
          </w:p>
        </w:tc>
      </w:tr>
      <w:tr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Active Engaged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2,588 (25.9%)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9.7%</w:t>
            </w:r>
          </w:p>
        </w:tc>
        <w:tc>
          <w:tcPr>
            <w:tcW w:type="dxa" w:w="22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$53,071</w:t>
            </w:r>
          </w:p>
        </w:tc>
      </w:tr>
    </w:tbl>
    <w:p>
      <w:pPr>
        <w:pBdr>
          <w:left w:val="single" w:color="C00000" w:sz="24"/>
        </w:pBdr>
        <w:shd w:fill="FDE9E9" w:val="clear"/>
        <w:spacing w:after="200" w:before="120"/>
        <w:ind w:left="200"/>
      </w:pPr>
      <w:r>
        <w:rPr>
          <w:b/>
          <w:bCs/>
          <w:color w:val="C00000"/>
        </w:rPr>
        <w:t xml:space="preserve">Inactive High-Balance customers are the clearest "silent churn" red flag: highest balances, highest churn, and only 12.5% of the base — easy to miss in aggregate reporting.</w:t>
      </w:r>
    </w:p>
    <w:p>
      <w:pPr>
        <w:pStyle w:val="Heading2"/>
        <w:spacing w:after="120" w:before="280"/>
      </w:pPr>
      <w:r>
        <w:t xml:space="preserve">Step 3 — Product Utilization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Products Held</w:t>
            </w:r>
          </w:p>
        </w:tc>
        <w:tc>
          <w:tcPr>
            <w:tcW w:type="dxa" w:w="3089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3089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Churn Rate</w:t>
            </w:r>
          </w:p>
        </w:tc>
      </w:tr>
      <w:tr>
        <w:tc>
          <w:tcPr>
            <w:tcW w:type="dxa" w:w="318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8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5,084</w:t>
            </w:r>
          </w:p>
        </w:tc>
        <w:tc>
          <w:tcPr>
            <w:tcW w:type="dxa" w:w="308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27.7%</w:t>
            </w:r>
          </w:p>
        </w:tc>
      </w:tr>
      <w:tr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08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4,590</w:t>
            </w:r>
          </w:p>
        </w:tc>
        <w:tc>
          <w:tcPr>
            <w:tcW w:type="dxa" w:w="308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7.6%  (sweet spot)</w:t>
            </w:r>
          </w:p>
        </w:tc>
      </w:tr>
      <w:tr>
        <w:tc>
          <w:tcPr>
            <w:tcW w:type="dxa" w:w="318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08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266</w:t>
            </w:r>
          </w:p>
        </w:tc>
        <w:tc>
          <w:tcPr>
            <w:tcW w:type="dxa" w:w="3089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82.7%  (distress signal)</w:t>
            </w:r>
          </w:p>
        </w:tc>
      </w:tr>
      <w:tr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08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60</w:t>
            </w:r>
          </w:p>
        </w:tc>
        <w:tc>
          <w:tcPr>
            <w:tcW w:type="dxa" w:w="308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100.0%  (distress signal)</w:t>
            </w:r>
          </w:p>
        </w:tc>
      </w:tr>
    </w:tbl>
    <w:p>
      <w:pPr>
        <w:spacing w:after="160"/>
        <w:jc w:val="left"/>
      </w:pPr>
      <w:r>
        <w:t xml:space="preserve">Single-product customers churn at 27.7% versus 12.8% for multi-product (2+) holders overall — but this naive grouping masks a critical non-linearity: the correlation between raw product count and churn is nearly flat (r = -0.05) because the relationship is a spike, not a line. Two products is the retention sweet spot; three and four products are almost certainly forced/bundled products or customers accumulating products shortly before leaving, not loyalty signals.</w:t>
      </w:r>
    </w:p>
    <w:p>
      <w:pPr>
        <w:pBdr>
          <w:left w:val="single" w:color="1F3864" w:sz="24"/>
        </w:pBdr>
        <w:shd w:fill="DCE6F1" w:val="clear"/>
        <w:spacing w:after="200" w:before="120"/>
        <w:ind w:left="200"/>
      </w:pPr>
      <w:r>
        <w:rPr>
          <w:b/>
          <w:bCs/>
          <w:color w:val="1F3864"/>
        </w:rPr>
        <w:t xml:space="preserve">Recommendation: model "Product Depth Index" as a categorical tier (1 / 2 / 3+), never a continuous score — a linear index would completely mask the 3-4 product cliff.</w:t>
      </w:r>
    </w:p>
    <w:p>
      <w:pPr>
        <w:spacing w:after="160"/>
        <w:jc w:val="left"/>
      </w:pPr>
      <w:r>
        <w:t xml:space="preserve">Engagement compounds within every product tier: among single-product holders alone, active members churn at 18.9% versus 36.7% for inactive members — activity status matters even before product count is considered.</w:t>
      </w:r>
    </w:p>
    <w:p>
      <w:pPr>
        <w:pStyle w:val="Heading2"/>
        <w:spacing w:after="120" w:before="280"/>
      </w:pPr>
      <w:r>
        <w:t xml:space="preserve">Step 4 — Financial Commitment vs. Engagement Analysis</w:t>
      </w:r>
    </w:p>
    <w:p>
      <w:pPr>
        <w:spacing w:after="160"/>
        <w:jc w:val="left"/>
      </w:pPr>
      <w:r>
        <w:t xml:space="preserve">Balance tier was crossed with activity status. Within every balance tier, inactive members churn at roughly double the rate of active members (e.g., High Balance tier: 30.6% inactive vs. 15.6% active) — confirming balance alone barely moves churn; engagement does.</w:t>
      </w:r>
    </w:p>
    <w:p>
      <w:pPr>
        <w:pStyle w:val="Heading3"/>
        <w:spacing w:after="100" w:before="200"/>
      </w:pPr>
      <w:r>
        <w:t xml:space="preserve">Salary-Balance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685"/>
        <w:gridCol w:w="2995"/>
      </w:tblGrid>
      <w:tr>
        <w:trPr>
          <w:tblHeader/>
        </w:trPr>
        <w:tc>
          <w:tcPr>
            <w:tcW w:type="dxa" w:w="28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Mismatch Type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168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Churn Rate</w:t>
            </w:r>
          </w:p>
        </w:tc>
        <w:tc>
          <w:tcPr>
            <w:tcW w:type="dxa" w:w="299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 Salary / Low Balance</w:t>
            </w:r>
          </w:p>
        </w:tc>
        <w:tc>
          <w:tcPr>
            <w:tcW w:type="dxa" w:w="187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2,585</w:t>
            </w:r>
          </w:p>
        </w:tc>
        <w:tc>
          <w:tcPr>
            <w:tcW w:type="dxa" w:w="168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17.9%</w:t>
            </w:r>
          </w:p>
        </w:tc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Wallet-share opportunity, not a risk signal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 Balance / Low Salary</w:t>
            </w:r>
          </w:p>
        </w:tc>
        <w:tc>
          <w:tcPr>
            <w:tcW w:type="dxa" w:w="187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1,163</w:t>
            </w:r>
          </w:p>
        </w:tc>
        <w:tc>
          <w:tcPr>
            <w:tcW w:type="dxa" w:w="168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24.3%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Highest-churn mismatch group</w:t>
            </w:r>
          </w:p>
        </w:tc>
      </w:tr>
      <w:tr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Aligned</w:t>
            </w:r>
          </w:p>
        </w:tc>
        <w:tc>
          <w:tcPr>
            <w:tcW w:type="dxa" w:w="1872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6,252</w:t>
            </w:r>
          </w:p>
        </w:tc>
        <w:tc>
          <w:tcPr>
            <w:tcW w:type="dxa" w:w="168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99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Salary and balance in expected proportion</w:t>
            </w:r>
          </w:p>
        </w:tc>
      </w:tr>
    </w:tbl>
    <w:p>
      <w:pPr>
        <w:spacing w:after="160"/>
        <w:jc w:val="left"/>
      </w:pPr>
      <w:r>
        <w:t xml:space="preserve">This reverses the intuitive assumption: customers earning more than their balance suggests are not a churn risk — they are simply not fully consolidated with this bank, making them a cross-sell target rather than a retention emergency.</w:t>
      </w:r>
    </w:p>
    <w:p>
      <w:pPr>
        <w:pStyle w:val="Heading3"/>
        <w:spacing w:after="100" w:before="200"/>
      </w:pPr>
      <w:r>
        <w:t xml:space="preserve">At-Risk Premium Customers</w:t>
      </w:r>
    </w:p>
    <w:p>
      <w:pPr>
        <w:spacing w:after="160"/>
        <w:jc w:val="left"/>
      </w:pPr>
      <w:r>
        <w:t xml:space="preserve">Premium customers (top-quartile salary + High Balance tier): 402 total, of which 197 are inactive ("at-risk"). At-risk premium churn is 32.5% versus 17.6% for active premium customers — the widest engagement gap identified in this analysis. Of the 197 at-risk premium customers, 133 have not yet churned and form a prioritized, balance-sorted outreach list.</w:t>
      </w:r>
    </w:p>
    <w:p>
      <w:pPr>
        <w:pStyle w:val="Heading2"/>
        <w:spacing w:after="120" w:before="280"/>
      </w:pPr>
      <w:r>
        <w:t xml:space="preserve">Step 5 — Retention Strength Assessment</w:t>
      </w:r>
    </w:p>
    <w:p>
      <w:pPr>
        <w:spacing w:after="160"/>
        <w:jc w:val="left"/>
      </w:pPr>
      <w:r>
        <w:t xml:space="preserve">A Relationship Strength Index (RSI, 0-6) was built from Activity status, a non-linear Product score (rewarding the 2-product sweet spot rather than raw count), and Card ownership.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RSI Score</w:t>
            </w:r>
          </w:p>
        </w:tc>
        <w:tc>
          <w:tcPr>
            <w:tcW w:type="dxa" w:w="327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327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Churn Rate</w:t>
            </w:r>
          </w:p>
        </w:tc>
      </w:tr>
      <w:tr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92.0%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852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43.2%</w:t>
            </w:r>
          </w:p>
        </w:tc>
      </w:tr>
      <w:tr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1,848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38.6%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1,518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20.6%</w:t>
            </w:r>
          </w:p>
        </w:tc>
      </w:tr>
      <w:tr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3,286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14.0%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711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6.5%</w:t>
            </w:r>
          </w:p>
        </w:tc>
      </w:tr>
      <w:tr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1,735</w:t>
            </w:r>
          </w:p>
        </w:tc>
        <w:tc>
          <w:tcPr>
            <w:tcW w:type="dxa" w:w="327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5.2%</w:t>
            </w:r>
          </w:p>
        </w:tc>
      </w:tr>
    </w:tbl>
    <w:p>
      <w:pPr>
        <w:spacing w:after="160"/>
        <w:jc w:val="left"/>
      </w:pPr>
      <w:r>
        <w:t xml:space="preserve">Unlike raw product count, RSI is genuinely monotonic — every additional point produces a real, consistent drop in churn, making it a far stronger composite KPI than any single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RSI Tier</w:t>
            </w:r>
          </w:p>
        </w:tc>
        <w:tc>
          <w:tcPr>
            <w:tcW w:type="dxa" w:w="28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Customers</w:t>
            </w:r>
          </w:p>
        </w:tc>
        <w:tc>
          <w:tcPr>
            <w:tcW w:type="dxa" w:w="280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Churn Rate</w:t>
            </w:r>
          </w:p>
        </w:tc>
      </w:tr>
      <w:tr>
        <w:tc>
          <w:tcPr>
            <w:tcW w:type="dxa" w:w="3744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At-Risk Customer (0-1)</w:t>
            </w:r>
          </w:p>
        </w:tc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902</w:t>
            </w:r>
          </w:p>
        </w:tc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45.9%</w:t>
            </w:r>
          </w:p>
        </w:tc>
      </w:tr>
      <w:tr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Moderate Relationship (2-3)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3,366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30.5%</w:t>
            </w:r>
          </w:p>
        </w:tc>
      </w:tr>
      <w:tr>
        <w:tc>
          <w:tcPr>
            <w:tcW w:type="dxa" w:w="3744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Sticky Customer (4-6)</w:t>
            </w:r>
          </w:p>
        </w:tc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5,732</w:t>
            </w:r>
          </w:p>
        </w:tc>
        <w:tc>
          <w:tcPr>
            <w:tcW w:type="dxa" w:w="280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10.4%</w:t>
            </w:r>
          </w:p>
        </w:tc>
      </w:tr>
    </w:tbl>
    <w:p>
      <w:pPr>
        <w:pBdr>
          <w:left w:val="single" w:color="2E7D32" w:sz="24"/>
        </w:pBdr>
        <w:shd w:fill="E8F5E9" w:val="clear"/>
        <w:spacing w:after="200" w:before="120"/>
        <w:ind w:left="200"/>
      </w:pPr>
      <w:r>
        <w:rPr>
          <w:b/>
          <w:bCs/>
          <w:color w:val="2E7D32"/>
        </w:rPr>
        <w:t xml:space="preserve">Retention threshold identified: RSI &gt;= 4 is the point where churn first drops below 15% and stays there — a clean, actionable cutoff for defining a "sticky" customer.</w:t>
      </w:r>
    </w:p>
    <w:p>
      <w:pPr>
        <w:pStyle w:val="Heading3"/>
        <w:spacing w:after="100" w:before="200"/>
      </w:pPr>
      <w:r>
        <w:t xml:space="preserve">Stability Check</w:t>
      </w:r>
    </w:p>
    <w:p>
      <w:pPr>
        <w:spacing w:after="160"/>
        <w:jc w:val="left"/>
      </w:pPr>
      <w:r>
        <w:t xml:space="preserve">The RSI tier structure is not equally reliable across all subgroups: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Gender: stable — churn direction (women slightly higher) is consistent across tiers, and the tier itself still separates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Geography: NOT stable — Germany churns far higher than France/Spain at every RSI tier (Sticky-tier churn ~17.9% in Germany vs. ~8% in France/Spain), indicating a Germany-specific driver independent of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Age: NOT stable — churn rises sharply with age within every tier (even "Sticky" 51-60 year-olds churn at ~32%), indicating age is a second major, independent risk axis.</w:t>
      </w:r>
    </w:p>
    <w:p>
      <w:pPr>
        <w:spacing w:after="160"/>
        <w:jc w:val="left"/>
      </w:pPr>
      <w:r>
        <w:t xml:space="preserve">Conclusion: RSI is a strong core KPI, but Germany and older-age customers require an additional risk overlay — engagement alone does not protect them the way it does the rest of the base.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Consolidated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Engagement is the dominant driver of retention — it outperforms balance, salary, and even raw product count at every level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depth is non-linear: 2 products retains, 3-4 products signals distress. Treat this as a categorical tier, not a continuous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 balance does not protect against churn when a customer is disengaged — the Inactive High-Balance segment and At-Risk Premium segment are both high-churn despite being the bank's most valuable accounts on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composite Relationship Strength Index (RSI) outperforms any single field as a churn predictor, with a clean, actionable threshold at RSI &gt;=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Germany and older-age customers churn at elevated rates regardless of engagement tier, and need dedicated risk overlays beyond RSI.</w:t>
      </w:r>
    </w:p>
    <w:p>
      <w:pPr>
        <w:pStyle w:val="Heading1"/>
        <w:spacing w:after="160" w:before="360"/>
      </w:pPr>
      <w:r>
        <w:t xml:space="preserve">7. Strategic Recommendations</w:t>
      </w:r>
    </w:p>
    <w:p>
      <w:pPr>
        <w:pStyle w:val="Heading3"/>
        <w:spacing w:after="100" w:before="200"/>
      </w:pPr>
      <w:r>
        <w:t xml:space="preserve">Retention &amp;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Prioritize activation campaigns for inactive members over blanket loyalty offers — activity status is the single strongest lever identified.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proactive outreach specifically for the 133-customer At-Risk Premium target list (Step 4) before they reach the point of churn.</w:t>
      </w:r>
    </w:p>
    <w:p>
      <w:pPr>
        <w:pStyle w:val="Heading3"/>
        <w:spacing w:after="100" w:before="200"/>
      </w:pPr>
      <w:r>
        <w:t xml:space="preserve">Product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Design bundling and cross-sell programs to move single-product customers to exactly 2 products — not to maximize product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Investigate the 3-4 product segment directly with the product/servicing teams — this is very likely a symptom of dissatisfaction or forced bundling, not a success story, and needs a root-cause review outside this dataset.</w:t>
      </w:r>
    </w:p>
    <w:p>
      <w:pPr>
        <w:pStyle w:val="Heading3"/>
        <w:spacing w:after="100" w:before="200"/>
      </w:pPr>
      <w:r>
        <w:t xml:space="preserve">Segment-Specific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Treat High Salary / Low Balance customers as a wallet-share growth opportunity (cross-sell), not a churn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Apply a Germany-specific and age-specific risk overlay on top of the RSI tiering, since both groups churn above their engagement tier's baseline.</w:t>
      </w:r>
    </w:p>
    <w:p>
      <w:pPr>
        <w:pStyle w:val="Heading3"/>
        <w:spacing w:after="100" w:before="200"/>
      </w:pPr>
      <w:r>
        <w:t xml:space="preserve">Operationalization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Deploy the accompanying Streamlit dashboard for ongoing monitoring: Engagement vs. Churn Overview, Product Utilization Impact, High-Value Disengaged Customer Detector, and Retention Strength Scoring panels, each filterable by activity status, product count, and balance/salary thresholds.</w:t>
      </w:r>
    </w:p>
    <w:p>
      <w:pPr>
        <w:pBdr>
          <w:bottom w:val="single" w:color="BFBFBF" w:sz="6"/>
        </w:pBdr>
        <w:spacing w:after="240"/>
      </w:pPr>
    </w:p>
    <w:p>
      <w:pPr>
        <w:pStyle w:val="Heading1"/>
        <w:spacing w:after="160" w:before="360"/>
      </w:pPr>
      <w:r>
        <w:t xml:space="preserve">8. Appendix: Deliverables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1-5 Python analysis scripts (.py) and corresponding CSV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 customer-level dataset enriched with Engagement Profile, Balance Tier, Salary-Balance Mismatch Flag, and RSI Score/Tier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Actionable target lists: At-Risk Premium (Step 4) and High-Value Disengaged (dashboard, dynamic)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Streamlit retention analytics dashboard (retention_dashboard.py) with sidebar filters and 4 monitoring modules</w:t>
      </w:r>
    </w:p>
    <w:p>
      <w:pPr>
        <w:spacing w:after="160"/>
        <w:jc w:val="left"/>
      </w:pPr>
      <w:r>
        <w:t xml:space="preserve"/>
      </w:r>
    </w:p>
    <w:p>
      <w:pPr>
        <w:spacing w:after="160"/>
        <w:jc w:val="center"/>
      </w:pPr>
      <w:r>
        <w:rPr>
          <w:i/>
          <w:iCs/>
          <w:color w:val="595959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2026-09-27T09:46:28.312Z</dcterms:created>
  <dcterms:modified xsi:type="dcterms:W3CDTF">2026-09-27T09:46:28.322Z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