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wp="http://purl.oclc.org/ooxml/drawingml/wordprocessingDrawing" xmlns:wp14="http://schemas.microsoft.com/office/word/2010/wordprocessingDrawing" xmlns:a="http://purl.oclc.org/ooxml/drawingml/main" xmlns:pic="http://purl.oclc.org/ooxml/drawingml/picture">
  <w:body>
    <w:p>
      <w:pPr>
        <w:pStyle w:val="papertitle"/>
      </w:pPr>
      <w:r>
        <w:t xml:space="preserve">Meta Society: A Simulation-Driven AI Policy Advisor for Data-Grounded Smart Governance</w:t>
      </w:r>
    </w:p>
    <w:p>
      <w:pPr>
        <w:pStyle w:val="Author"/>
      </w:pPr>
      <w:r>
        <w:t xml:space="preserve">Priti Chaugule</w:t>
      </w:r>
    </w:p>
    <w:p>
      <w:pPr>
        <w:pStyle w:val="Affiliation"/>
      </w:pPr>
      <w:r>
        <w:t xml:space="preserve">Department of Computer Science &amp; Engineering, SKN Sinhgad College of Engineering</w:t>
      </w:r>
    </w:p>
    <w:p>
      <w:pPr>
        <w:pStyle w:val="Author"/>
      </w:pPr>
      <w:r>
        <w:t xml:space="preserve">Mayuri Kulkarni</w:t>
      </w:r>
    </w:p>
    <w:p>
      <w:pPr>
        <w:pStyle w:val="Affiliation"/>
      </w:pPr>
      <w:r>
        <w:t xml:space="preserve">Department of Computer Science &amp; Engineering, SKN Sinhgad College of Engineering</w:t>
      </w:r>
    </w:p>
    <w:p>
      <w:pPr>
        <w:pStyle w:val="Author"/>
      </w:pPr>
      <w:r>
        <w:t xml:space="preserve">Priyanka Jadhav</w:t>
      </w:r>
    </w:p>
    <w:p>
      <w:pPr>
        <w:pStyle w:val="Affiliation"/>
      </w:pPr>
      <w:r>
        <w:t xml:space="preserve">Department of Computer Science &amp; Engineering, SKN Sinhgad College of Engineering</w:t>
      </w:r>
    </w:p>
    <w:p>
      <w:pPr>
        <w:pStyle w:val="Author"/>
      </w:pPr>
      <w:r>
        <w:t xml:space="preserve">Payal Dongre</w:t>
      </w:r>
    </w:p>
    <w:p>
      <w:pPr>
        <w:pStyle w:val="Affiliation"/>
      </w:pPr>
      <w:r>
        <w:t xml:space="preserve">Department of Computer Science &amp; Engineering, SKN Sinhgad College of Engineering</w:t>
      </w:r>
    </w:p>
    <w:p>
      <w:pPr>
        <w:pStyle w:val="Abstract"/>
      </w:pPr>
      <w:r>
        <w:rPr>
          <w:b/>
        </w:rPr>
        <w:t xml:space="preserve">Abstract—</w:t>
      </w:r>
      <w:r>
        <w:t xml:space="preserve">Policy decisions in local governance are frequently taken with limited empirical grounding, relying on precedent, intuition, or small-scale pilots that are slow and costly to run. This paper presents Meta Society, a smart-governance platform that allows a policymaker to state a goal in natural language, receive structured policy recommendations, and evaluate candidate policies against a virtual model of a town before committing to any real-world deployment. The platform combines three components. First, an AI Policy Advisor executes a multi-stage large-language-model (LLM) reasoning pipeline—orchestrated with LangGraph and served through a FastAPI backend—that converts a natural-language goal and multi-domain town statistics into structured candidate policies with expected benefits, risks, and affected population groups. Second, a Simulation Lab reports its outcomes from a deterministic engine rather than from an LLM: one agent per citizen is generated for a real town (Pandharpur, in Solapur district, Maharashtra) so that published Census 2011 totals are reproduced exactly; a 29-node Bayesian network is rolled forward one period at a time with conditional-probability tables counted from the population wherever the data can speak; and a Differential Evolution search with NSGA-II non-dominated selection, reported alongside an equal-budget random-search control, explores the policy-parameter space. Third, a data and dashboard layer renders the same population together with a field-by-field provenance ledger that separates verified Census fields from modelled ones. Every headline metric is a stated summation over the agent population, and each run re-checks the accounting identities, the network’s documented response directions, and reproducibility, reporting the outcome as an evidence pack. We describe the architecture, the modules, the workflow, and the verification the engine performs, and we state the system’s boundaries plainly: response directions are validated but magnitudes are not yet calibrated against an evaluated real programme, income and sector are modelled rather than measured, and the platform is a counterfactual comparison tool rather than a forecasting service.</w:t>
      </w:r>
    </w:p>
    <w:p>
      <w:pPr>
        <w:pStyle w:val="Keywords"/>
      </w:pPr>
      <w:r>
        <w:rPr>
          <w:b/>
        </w:rPr>
        <w:t xml:space="preserve">Keywords—</w:t>
      </w:r>
      <w:r>
        <w:t xml:space="preserve">smart governance, policy simulation, large language models, LangGraph, Bayesian networks, differential evolution, NSGA-II, agent-based modeling, synthetic population, microsimulation.</w:t>
      </w:r>
    </w:p>
    <w:p>
      <w:pPr>
        <w:pStyle w:val="Heading1"/>
      </w:pPr>
      <w:r>
        <w:t xml:space="preserve">I. INTRODUCTION</w:t>
      </w:r>
    </w:p>
    <w:p>
      <w:pPr>
        <w:pStyle w:val="BodyText"/>
      </w:pPr>
      <w:r>
        <w:t xml:space="preserve">Local and regional policymakers routinely face decisions—adjusting a subsidy, changing a tax rate, expanding a public service—whose downstream social and economic effects are difficult to anticipate without either historical precedent or a live pilot. Experimenting directly on a population carries real cost and risk when a policy turns out to be poorly designed. This motivates a simulation-first approach: test a policy on a virtual model of a town, populated by citizen agents, before applying it in the real world.</w:t>
      </w:r>
    </w:p>
    <w:p>
      <w:pPr>
        <w:pStyle w:val="BodyText"/>
      </w:pPr>
      <w:r>
        <w:t xml:space="preserve">Meta Society is a smart-governance platform built around this premise. A user reviews interactive dashboards that summarise a town’s current state, states a policy goal in natural language (for example, “reduce unemployment without increasing inflation”), and receives structured policy recommendations with expected benefits and risks. A selected policy can then be run in the Simulation Lab, which models how the town’s population responds and reports economic and social outcomes, including risk alerts, per-zone incidence, and comparisons against a no-policy counterfactual. This paper documents the system as built: the completed AI Policy Advisor, the completed Simulation Lab engine, the data foundation they share, and the reasoning behind replacing an earlier regression-based agent model with an explicit probabilistic and evolutionary one.</w:t>
      </w:r>
    </w:p>
    <w:p>
      <w:pPr>
        <w:pStyle w:val="BodyText"/>
      </w:pPr>
      <w:r>
        <w:t xml:space="preserve">The remainder of this paper is organised as follows. Section II reviews related work in AI-assisted policy support, agent-based modeling, probabilistic graphical models, and evolutionary computation. Section III describes the system architecture and technology stack. Section IV details the Simulation Lab engine, including its design principle, data foundation, Bayesian network, multi-period dynamics, policy search, decision layer, accounting identities, and dashboard layer. Section V describes the AI Policy Advisor. Section VI explains how the project moved from an aggregate, internally inconsistent town corpus to census-anchored microdata. Section VII covers persistence, reproducibility, and verification. Section VIII presents the verification results. Section IX states the limitations and threats to validity, and Section X concludes with future work.</w:t>
      </w:r>
    </w:p>
    <w:p>
      <w:pPr>
        <w:pStyle w:val="Heading1"/>
      </w:pPr>
      <w:r>
        <w:t xml:space="preserve">II. RELATED WORK</w:t>
      </w:r>
    </w:p>
    <w:p>
      <w:pPr>
        <w:pStyle w:val="Heading2"/>
      </w:pPr>
      <w:r>
        <w:t xml:space="preserve">A. AI-Assisted Policy and Governance Tools</w:t>
      </w:r>
    </w:p>
    <w:p>
      <w:pPr>
        <w:pStyle w:val="BodyText"/>
      </w:pPr>
      <w:r>
        <w:t xml:space="preserve">Interest in applying large language models to public-sector decision support has grown alongside broader LLM adoption, with tools that summarise legislation, draft policy briefs, or answer citizen queries. Prior work has also coupled multi-agent simulation with e-government decision-making [8] and explored how LLM-enhanced agent-based modeling can support complex policy strategies [9], alongside broader analyses of AI-agent systems and their governance implications [10]. Meta Society differs from summarisation-oriented tools in that it couples policy generation with an explicit, inspectable outcome-simulation layer, so that a suggested policy is paired with a computed comparison rather than presented as text alone.</w:t>
      </w:r>
    </w:p>
    <w:p>
      <w:pPr>
        <w:pStyle w:val="Heading2"/>
      </w:pPr>
      <w:r>
        <w:t xml:space="preserve">B. Agent-Based Modeling</w:t>
      </w:r>
    </w:p>
    <w:p>
      <w:pPr>
        <w:pStyle w:val="BodyText"/>
      </w:pPr>
      <w:r>
        <w:t xml:space="preserve">Agent-based modeling (ABM) represents a system as a population of autonomous agents with individual attributes and simple behavioural rules, whose interactions produce emergent, population-level outcomes [1]. ABM has been applied extensively in epidemiology, traffic simulation, and the social sciences to represent heterogeneous populations more realistically than aggregate models can. This body of work motivates our shift away from a small number of “representative” agents toward a population in which every agent corresponds to one citizen.</w:t>
      </w:r>
    </w:p>
    <w:p>
      <w:pPr>
        <w:pStyle w:val="Heading2"/>
      </w:pPr>
      <w:r>
        <w:t xml:space="preserve">C. Random Forests</w:t>
      </w:r>
    </w:p>
    <w:p>
      <w:pPr>
        <w:pStyle w:val="BodyText"/>
      </w:pPr>
      <w:r>
        <w:t xml:space="preserve">Random Forests, introduced by Breiman [2], construct an ensemble of decision trees trained on labelled examples and aggregate their predictions by voting or averaging. They are effective for supervised classification and regression with sufficient labelled data, but they do not natively represent the causal or probabilistic dependency structure between variables, and their predictions are difficult to explain to a non-technical stakeholder—a significant limitation in a policymaking context, discussed further in Section IV-B.</w:t>
      </w:r>
    </w:p>
    <w:p>
      <w:pPr>
        <w:pStyle w:val="Heading2"/>
      </w:pPr>
      <w:r>
        <w:t xml:space="preserve">D. Bayesian Networks</w:t>
      </w:r>
    </w:p>
    <w:p>
      <w:pPr>
        <w:pStyle w:val="BodyText"/>
      </w:pPr>
      <w:r>
        <w:t xml:space="preserve">Bayesian networks, formalised by Pearl [3], represent a set of random variables and their conditional dependencies as a directed acyclic graph in which each node holds a conditional probability distribution given its parents. They support probabilistic inference—computing the distribution over unobserved variables given evidence—and are valued for their interpretability, since the graph structure itself states which factors influence which outcomes. Koller and Friedman [4] provide a comprehensive treatment of probabilistic graphical models, including structure learning and inference algorithms relevant to this work.</w:t>
      </w:r>
    </w:p>
    <w:p>
      <w:pPr>
        <w:pStyle w:val="Heading2"/>
      </w:pPr>
      <w:r>
        <w:t xml:space="preserve">E. Evolutionary Computation and Differential Evolution</w:t>
      </w:r>
    </w:p>
    <w:p>
      <w:pPr>
        <w:pStyle w:val="BodyText"/>
      </w:pPr>
      <w:r>
        <w:t xml:space="preserve">Evolutionary algorithms optimise a population of candidate solutions through iterative selection, recombination, and mutation, guided by a fitness function, without requiring gradient information about the search space. Differential Evolution (DE), introduced by Storn and Price [5], is a population-based evolutionary algorithm that is particularly effective on continuous, nonlinear, and non-stationary optimisation problems. Das and Suganthan [6] survey DE variants and their applications, and Deb et al. [7] introduced the NSGA-II non-dominated sorting procedure used here for cases in which policy objectives conflict.</w:t>
      </w:r>
    </w:p>
    <w:p>
      <w:pPr>
        <w:pStyle w:val="Heading1"/>
      </w:pPr>
      <w:r>
        <w:t xml:space="preserve">III. SYSTEM ARCHITECTURE</w:t>
      </w:r>
    </w:p>
    <w:p>
      <w:pPr>
        <w:pStyle w:val="BodyText"/>
      </w:pPr>
      <w:r>
        <w:t xml:space="preserve">Meta Society is a single-page web application built with React and TypeScript on Vite, with a routed set of pages: a population dashboard, a data-intelligence view, the AI Policy Advisor, the Simulation Lab, an alerts view, saved reports, and a profile page. The application is organised so that the simulation engine is a self-contained TypeScript module tree that runs entirely in the browser; it requires no server and no database, and every number it reports is a deterministic function of the population, the policy vector, the engine version, and the random seed. The AI Policy Advisor is a separate, optional Python service. Supabase provides an optional Postgres schema, scoped by authentication with row-level security, for persisting saved simulation runs.</w:t>
      </w:r>
    </w:p>
    <w:p>
      <w:pPr>
        <w:jc w:val="center"/>
      </w:pPr>
      <w:drawing>
        <wp:inline distT="0" distB="0" distL="0" distR="0">
          <wp:extent cx="5760000" cy="3550000"/>
          <wp:effectExtent l="0" t="0" r="0" b="0"/>
          <wp:docPr id="20" name="Figure 1" descr="Meta Society system architecture diagram"/>
          <wp:cNvGraphicFramePr>
            <a:graphicFrameLocks noChangeAspect="1"/>
          </wp:cNvGraphicFramePr>
          <a:graphic>
            <a:graphicData uri="http://purl.oclc.org/ooxml/drawingml/picture">
              <pic:pic>
                <pic:nvPicPr>
                  <pic:cNvPr id="20" name="image1.png"/>
                  <pic:cNvPicPr/>
                </pic:nvPicPr>
                <pic:blipFill>
                  <a:blip r:embed="rId14"/>
                  <a:stretch>
                    <a:fillRect/>
                  </a:stretch>
                </pic:blipFill>
                <pic:spPr>
                  <a:xfrm>
                    <a:off x="0" y="0"/>
                    <a:ext cx="5760000" cy="3550000"/>
                  </a:xfrm>
                  <a:prstGeom prst="rect">
                    <a:avLst/>
                  </a:prstGeom>
                </pic:spPr>
              </pic:pic>
            </a:graphicData>
          </a:graphic>
        </wp:inline>
      </w:drawing>
    </w:p>
    <w:p>
      <w:pPr>
        <w:pStyle w:val="figurecaption"/>
      </w:pPr>
      <w:r>
        <w:t xml:space="preserve">Fig. 1. Meta Society system architecture. The upper path is the AI Policy Advisor: the frontend sends a natural-language goal to the reasoning service, which returns structured candidate policies. The lower paths are the Simulation Lab: the census-anchored citizen population feeds a Bayesian network for outcome inference and a Differential Evolution search for policy-parameter optimisation, with results rendered in the Simulation Lab and persisted through the shared storage layer.</w:t>
      </w:r>
    </w:p>
    <w:p>
      <w:pPr>
        <w:pStyle w:val="BodyText"/>
      </w:pPr>
      <w:r>
        <w:t xml:space="preserve">Two architectural decisions shape the rest of the paper. First, the AI Policy Advisor and the Simulation Lab are deliberately separated: the advisor proposes what to try, while the Simulation Lab computes what a policy would imply under the model. Second, the Simulation Lab never routes its outcome numbers through a language model. Section IV makes that constraint explicit, because a fluent but ungrounded number is, to a policymaker, indistinguishable from a computed one.</w:t>
      </w:r>
    </w:p>
    <w:p>
      <w:pPr>
        <w:pStyle w:val="Heading2"/>
      </w:pPr>
      <w:r>
        <w:t xml:space="preserve">A. Technology Stack</w:t>
      </w:r>
    </w:p>
    <w:p>
      <w:pPr>
        <w:pStyle w:val="BodyText"/>
      </w:pPr>
      <w:r>
        <w:t xml:space="preserve">Table I summarises the technology stack used at each layer of the system.</w:t>
      </w:r>
    </w:p>
    <w:p>
      <w:pPr>
        <w:pStyle w:val="figurecaption"/>
      </w:pPr>
      <w:r>
        <w:rPr>
          <w:b/>
        </w:rPr>
        <w:t xml:space="preserve">TABLE I</w:t>
      </w:r>
      <w:r>
        <w:t xml:space="preserve"> — Technology Stack of the Meta Society Platform</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Layer</w:t>
            </w:r>
          </w:p>
        </w:tc>
        <w:tc>
          <w:tcPr/>
          <w:p>
            <w:pPr>
              <w:pStyle w:val="tablehead"/>
            </w:pPr>
            <w:r>
              <w:t xml:space="preserve">Technology</w:t>
            </w:r>
          </w:p>
        </w:tc>
      </w:tr>
      <w:tr>
        <w:tc>
          <w:tcPr/>
          <w:p>
            <w:pPr>
              <w:pStyle w:val="tablecopy"/>
            </w:pPr>
            <w:r>
              <w:t xml:space="preserve">Frontend</w:t>
            </w:r>
          </w:p>
        </w:tc>
        <w:tc>
          <w:tcPr/>
          <w:p>
            <w:pPr>
              <w:pStyle w:val="tablecopy"/>
            </w:pPr>
            <w:r>
              <w:t xml:space="preserve">React 18, TypeScript, Vite, shadcn/ui (Radix), Tailwind CSS, Recharts, React Router</w:t>
            </w:r>
          </w:p>
        </w:tc>
      </w:tr>
      <w:tr>
        <w:tc>
          <w:tcPr/>
          <w:p>
            <w:pPr>
              <w:pStyle w:val="tablecopy"/>
            </w:pPr>
            <w:r>
              <w:t xml:space="preserve">Simulation engine</w:t>
            </w:r>
          </w:p>
        </w:tc>
        <w:tc>
          <w:tcPr/>
          <w:p>
            <w:pPr>
              <w:pStyle w:val="tablecopy"/>
            </w:pPr>
            <w:r>
              <w:t xml:space="preserve">Self-contained TypeScript modules executed in the browser (deterministic; no server dependency)</w:t>
            </w:r>
          </w:p>
        </w:tc>
      </w:tr>
      <w:tr>
        <w:tc>
          <w:tcPr/>
          <w:p>
            <w:pPr>
              <w:pStyle w:val="tablecopy"/>
            </w:pPr>
            <w:r>
              <w:t xml:space="preserve">AI reasoning service</w:t>
            </w:r>
          </w:p>
        </w:tc>
        <w:tc>
          <w:tcPr/>
          <w:p>
            <w:pPr>
              <w:pStyle w:val="tablecopy"/>
            </w:pPr>
            <w:r>
              <w:t xml:space="preserve">Python, FastAPI, LangGraph, Pandas; hosted LLM accessed through the Groq OpenAI-compatible API</w:t>
            </w:r>
          </w:p>
        </w:tc>
      </w:tr>
      <w:tr>
        <w:tc>
          <w:tcPr/>
          <w:p>
            <w:pPr>
              <w:pStyle w:val="tablecopy"/>
            </w:pPr>
            <w:r>
              <w:t xml:space="preserve">Persistence</w:t>
            </w:r>
          </w:p>
        </w:tc>
        <w:tc>
          <w:tcPr/>
          <w:p>
            <w:pPr>
              <w:pStyle w:val="tablecopy"/>
            </w:pPr>
            <w:r>
              <w:t xml:space="preserve">Browser local storage (verified path); optional Supabase Postgres mirror under row-level security</w:t>
            </w:r>
          </w:p>
        </w:tc>
      </w:tr>
      <w:tr>
        <w:tc>
          <w:tcPr/>
          <w:p>
            <w:pPr>
              <w:pStyle w:val="tablecopy"/>
            </w:pPr>
            <w:r>
              <w:t xml:space="preserve">Testing</w:t>
            </w:r>
          </w:p>
        </w:tc>
        <w:tc>
          <w:tcPr/>
          <w:p>
            <w:pPr>
              <w:pStyle w:val="tablecopy"/>
            </w:pPr>
            <w:r>
              <w:t xml:space="preserve">Vitest acceptance suites for the engine, the specification checks, and page/persistence wiring</w:t>
            </w:r>
          </w:p>
        </w:tc>
      </w:tr>
    </w:tbl>
    <w:p>
      <w:pPr>
        <w:pStyle w:val="Heading1"/>
      </w:pPr>
      <w:r>
        <w:t xml:space="preserve">IV. THE SIMULATION LAB ENGINE</w:t>
      </w:r>
    </w:p>
    <w:p>
      <w:pPr>
        <w:pStyle w:val="BodyText"/>
      </w:pPr>
      <w:r>
        <w:t xml:space="preserve">The Simulation Lab is the analytical core of Meta Society. It accepts a policy vector and a scenario configuration, rolls a probabilistic model forward over a synthetic citizen population, and reports outcomes together with a model-generated baseline. The engine is implemented in TypeScript and runs client-side; the same code path produces every reported number.</w:t>
      </w:r>
    </w:p>
    <w:p>
      <w:pPr>
        <w:pStyle w:val="Heading2"/>
      </w:pPr>
      <w:r>
        <w:t xml:space="preserve">A. Design Principle: Decisive, Not Generative</w:t>
      </w:r>
    </w:p>
    <w:p>
      <w:pPr>
        <w:pStyle w:val="BodyText"/>
      </w:pPr>
      <w:r>
        <w:t xml:space="preserve">The engine is decisive rather than generative. No language model sits anywhere in the path from “policy submitted” to “outcome shown”; an LLM may be used upstream (the AI Policy Advisor suggests what to try) or downstream (to phrase a caption around an already-computed number), but never to produce the number itself. The rationale is that an LLM asked to predict the effect of a policy will return a fluent, plausible figure that is not derived from any model, and such a figure is difficult for a non-specialist to distinguish from a computed result. Everything in the remainder of this section exists to give the Simulation Lab numbers that come from an actual, inspectable model.</w:t>
      </w:r>
    </w:p>
    <w:p>
      <w:pPr>
        <w:pStyle w:val="Heading2"/>
      </w:pPr>
      <w:r>
        <w:t xml:space="preserve">B. Rationale: Replacing the Random Forest Baseline</w:t>
      </w:r>
    </w:p>
    <w:p>
      <w:pPr>
        <w:pStyle w:val="BodyText"/>
      </w:pPr>
      <w:r>
        <w:t xml:space="preserve">An earlier prototype modelled agent reactions to a policy with a Random Forest classifier trained on town data clustered into ten groups, with a single representative agent standing in for each cluster. Three concrete limitations led the team to replace that approach. First, Random Forest requires labelled examples of the form (policy applied, outcome observed); the available data consists of town-level demographic and economic indicators, not a historical record of interventions and their measured effects, leaving too few labelled examples for a reliable classifier. Second, a Random Forest’s prediction is an aggregate of many trees and does not, by itself, indicate which inputs were responsible, which is a poor fit for a tool intended to build policymaker trust. Third, real policy effects propagate through a chain of intermediate variables—a subsidy changes household income, which changes spending, which changes demand, which changes inflation, which changes public sentiment—and a Random Forest treats each prediction as an independent function of its inputs rather than a sequential, compounding causal structure. A further limitation of the clustering step is that reducing many locations to ten representative agents discards within-group variation and provides no mechanism for representing variation among citizens within a single town—precisely the variation that determines how unevenly a policy is felt.</w:t>
      </w:r>
    </w:p>
    <w:p>
      <w:pPr>
        <w:pStyle w:val="Heading2"/>
      </w:pPr>
      <w:r>
        <w:t xml:space="preserve">C. Census-Anchored Synthetic Population and Provenance</w:t>
      </w:r>
    </w:p>
    <w:p>
      <w:pPr>
        <w:pStyle w:val="BodyText"/>
      </w:pPr>
      <w:r>
        <w:t xml:space="preserve">The engine operates on one agent per citizen for the pilot town of Pandharpur (Solapur district, Maharashtra). The population is generated deterministically from published Census 2011 totals [11] and stored as a structure of arrays so that the full population remains compact in memory. Population counts are allocated with the largest-remainder method and calibrated systematic sampling, rather than sampled independently, so that the verified totals are met exactly: total population 98,923 (male 50,645, female 48,278), 20,054 households, 11,151 children aged 0–6, effective literacy of 81.11% for males and 72.45% for females, 30,855 workers (25,162 male, 5,693 female), and 33 wards. A validation routine asserts each of these totals on every run.</w:t>
      </w:r>
    </w:p>
    <w:p>
      <w:pPr>
        <w:pStyle w:val="BodyText"/>
      </w:pPr>
      <w:r>
        <w:t xml:space="preserve">Crucially, the system distinguishes what is measured from what is modelled. A field-level provenance ledger tags every generated field as verified Census data, estimated, modelled, or assumed. Population, sex split, households, children aged 0–6, literacy, the SC/ST shares, and worker counts are verified Census fields; income, sector, education, housing, and task exposure are modelled, because the Census does not record them. This ledger is rendered directly in the interface, so a modelled quantity is never presented to a user as measured data. Table II lists the verified anchors the generator is required to reproduce.</w:t>
      </w:r>
    </w:p>
    <w:p>
      <w:pPr>
        <w:pStyle w:val="figurecaption"/>
      </w:pPr>
      <w:r>
        <w:rPr>
          <w:b/>
        </w:rPr>
        <w:t xml:space="preserve">TABLE II</w:t>
      </w:r>
      <w:r>
        <w:t xml:space="preserve"> — Verified Census 2011 Anchors for Pandharpur Reproduced by the Generator</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Quantity (Census 2011)</w:t>
            </w:r>
          </w:p>
        </w:tc>
        <w:tc>
          <w:tcPr/>
          <w:p>
            <w:pPr>
              <w:pStyle w:val="tablehead"/>
            </w:pPr>
            <w:r>
              <w:t xml:space="preserve">Value</w:t>
            </w:r>
          </w:p>
        </w:tc>
      </w:tr>
      <w:tr>
        <w:tc>
          <w:tcPr/>
          <w:p>
            <w:pPr>
              <w:pStyle w:val="tablecopy"/>
            </w:pPr>
            <w:r>
              <w:t xml:space="preserve">Total population</w:t>
            </w:r>
          </w:p>
        </w:tc>
        <w:tc>
          <w:tcPr/>
          <w:p>
            <w:pPr>
              <w:pStyle w:val="tablecopy"/>
            </w:pPr>
            <w:r>
              <w:t xml:space="preserve">98,923</w:t>
            </w:r>
          </w:p>
        </w:tc>
      </w:tr>
      <w:tr>
        <w:tc>
          <w:tcPr/>
          <w:p>
            <w:pPr>
              <w:pStyle w:val="tablecopy"/>
            </w:pPr>
            <w:r>
              <w:t xml:space="preserve">Male / female</w:t>
            </w:r>
          </w:p>
        </w:tc>
        <w:tc>
          <w:tcPr/>
          <w:p>
            <w:pPr>
              <w:pStyle w:val="tablecopy"/>
            </w:pPr>
            <w:r>
              <w:t xml:space="preserve">50,645 / 48,278</w:t>
            </w:r>
          </w:p>
        </w:tc>
      </w:tr>
      <w:tr>
        <w:tc>
          <w:tcPr/>
          <w:p>
            <w:pPr>
              <w:pStyle w:val="tablecopy"/>
            </w:pPr>
            <w:r>
              <w:t xml:space="preserve">Households</w:t>
            </w:r>
          </w:p>
        </w:tc>
        <w:tc>
          <w:tcPr/>
          <w:p>
            <w:pPr>
              <w:pStyle w:val="tablecopy"/>
            </w:pPr>
            <w:r>
              <w:t xml:space="preserve">20,054</w:t>
            </w:r>
          </w:p>
        </w:tc>
      </w:tr>
      <w:tr>
        <w:tc>
          <w:tcPr/>
          <w:p>
            <w:pPr>
              <w:pStyle w:val="tablecopy"/>
            </w:pPr>
            <w:r>
              <w:t xml:space="preserve">Children aged 0–6</w:t>
            </w:r>
          </w:p>
        </w:tc>
        <w:tc>
          <w:tcPr/>
          <w:p>
            <w:pPr>
              <w:pStyle w:val="tablecopy"/>
            </w:pPr>
            <w:r>
              <w:t xml:space="preserve">11,151</w:t>
            </w:r>
          </w:p>
        </w:tc>
      </w:tr>
      <w:tr>
        <w:tc>
          <w:tcPr/>
          <w:p>
            <w:pPr>
              <w:pStyle w:val="tablecopy"/>
            </w:pPr>
            <w:r>
              <w:t xml:space="preserve">Effective literacy (male / female)</w:t>
            </w:r>
          </w:p>
        </w:tc>
        <w:tc>
          <w:tcPr/>
          <w:p>
            <w:pPr>
              <w:pStyle w:val="tablecopy"/>
            </w:pPr>
            <w:r>
              <w:t xml:space="preserve">81.11% / 72.45%</w:t>
            </w:r>
          </w:p>
        </w:tc>
      </w:tr>
      <w:tr>
        <w:tc>
          <w:tcPr/>
          <w:p>
            <w:pPr>
              <w:pStyle w:val="tablecopy"/>
            </w:pPr>
            <w:r>
              <w:t xml:space="preserve">Workers (male / female / total)</w:t>
            </w:r>
          </w:p>
        </w:tc>
        <w:tc>
          <w:tcPr/>
          <w:p>
            <w:pPr>
              <w:pStyle w:val="tablecopy"/>
            </w:pPr>
            <w:r>
              <w:t xml:space="preserve">25,162 / 5,693 / 30,855</w:t>
            </w:r>
          </w:p>
        </w:tc>
      </w:tr>
      <w:tr>
        <w:tc>
          <w:tcPr/>
          <w:p>
            <w:pPr>
              <w:pStyle w:val="tablecopy"/>
            </w:pPr>
            <w:r>
              <w:t xml:space="preserve">Wards</w:t>
            </w:r>
          </w:p>
        </w:tc>
        <w:tc>
          <w:tcPr/>
          <w:p>
            <w:pPr>
              <w:pStyle w:val="tablecopy"/>
            </w:pPr>
            <w:r>
              <w:t xml:space="preserve">33</w:t>
            </w:r>
          </w:p>
        </w:tc>
      </w:tr>
    </w:tbl>
    <w:p>
      <w:pPr>
        <w:pStyle w:val="Heading2"/>
      </w:pPr>
      <w:r>
        <w:t xml:space="preserve">D. Bayesian Network</w:t>
      </w:r>
    </w:p>
    <w:p>
      <w:pPr>
        <w:pStyle w:val="BodyText"/>
      </w:pPr>
      <w:r>
        <w:t xml:space="preserve">Agent-level reactions are modelled with a discrete Bayesian network of 29 nodes, organised into several passes because town-level variables depend on population totals. A first pass maps policy inputs and agent attributes to per-agent outcomes; an aggregate pass converts population totals into discretised bands; a second pass produces town-level outcomes such as inflation, employment rate, GDP growth, and wages; and a third pass feeds those town outcomes back to the individual through sentiment, protest risk, and migration intent. This chain—income to spending to demand to inflation to sentiment to protest—is exactly the compounding causal structure the Random Forest could not represent.</w:t>
      </w:r>
    </w:p>
    <w:p>
      <w:pPr>
        <w:pStyle w:val="BodyText"/>
      </w:pPr>
      <w:r>
        <w:t xml:space="preserve">Conditional-probability tables follow one rule: learn from the population wherever the data can speak, and use a documented prior only where it cannot. Variables that are observable in the generated population, such as income class, employment status, education, housing quality, sentiment, and skill relevance, have their tables counted directly from that population with Laplace smoothing. Only genuinely unobservable variables—latent market demand, sector output, the aggregate bands—and the policy parameters themselves are supplied by documented priors and additive log-weight shifts. Every table records its provenance, so the interface can state which parts of the model are estimated and which are assumed.</w:t>
      </w:r>
    </w:p>
    <w:p>
      <w:pPr>
        <w:pStyle w:val="BodyText"/>
      </w:pPr>
      <w:r>
        <w:t xml:space="preserve">Interventions are applied as interventions rather than as observations: applying a policy mutilates the graph by cutting the target node’s incoming edges and fixing its value (a </w:t>
      </w:r>
      <w:r>
        <w:rPr>
          <w:i/>
        </w:rPr>
        <w:t xml:space="preserve">do</w:t>
      </w:r>
      <w:r>
        <w:t xml:space="preserve">-operator), so a policy effect is causal rather than a conditional read. Inference is ancestral forward sampling, which is exact for this query pattern because the evidence sits on root or near-root exogenous variables; a runtime guard enforces that precondition so the engine cannot silently produce biased samples. On every run the network’s documented response directions are re-checked—for example, that a subsidy raises the probability of formal employment and that a high budget share raises the probability of high inflation—and the results are reported as part of the run’s evidence pack. The node and arrow structure, with each edge’s provenance, is also documented and rendered from the same definitions the engine uses, so the diagram cannot drift from the code.</w:t>
      </w:r>
    </w:p>
    <w:p>
      <w:pPr>
        <w:pStyle w:val="Heading2"/>
      </w:pPr>
      <w:r>
        <w:t xml:space="preserve">E. Multi-Period Dynamics and Counterfactual Baseline</w:t>
      </w:r>
    </w:p>
    <w:p>
      <w:pPr>
        <w:pStyle w:val="BodyText"/>
      </w:pPr>
      <w:r>
        <w:t xml:space="preserve">The network is rolled forward one period at a time rather than evaluated once. Agent state is carried across periods—employment, a savings stock measured in months of essential spending, sentiment, trust in government, migration intent, skill relevance, sector, and housing quality—and each policy instrument has its own channel lag before it reaches full strength, so the trajectory does not move in lock-step. A counterfactual baseline is produced by the same engine on the same population with the policy set to none, so every result ships with its own comparison instead of a hardcoded series.</w:t>
      </w:r>
    </w:p>
    <w:p>
      <w:pPr>
        <w:pStyle w:val="BodyText"/>
      </w:pPr>
      <w:r>
        <w:t xml:space="preserve">Headline metrics include GDP growth, employment rate, mean income, a wage index, inflation, a happiness index, the Gini coefficient, protest risk, and migration outflow. Each is accompanied by a 90% credible interval derived from full-population runs under varying random seeds, rather than presented as a decorated point estimate. Zone incidence is reported after the run as a partition over East, West, North, and South—the four zones that cover all 33 wards—so an output can distinguish a town-wide movement from a locally concentrated one.</w:t>
      </w:r>
    </w:p>
    <w:p>
      <w:pPr>
        <w:pStyle w:val="Heading2"/>
      </w:pPr>
      <w:r>
        <w:t xml:space="preserve">F. Policy Search</w:t>
      </w:r>
    </w:p>
    <w:p>
      <w:pPr>
        <w:pStyle w:val="BodyText"/>
      </w:pPr>
      <w:r>
        <w:t xml:space="preserve">Beyond evaluating a single policy, the engine searches the policy-parameter space. A candidate is encoded as a real-valued vector over intensity, total budget, duration, and a three-way allocation across housing, education, and employment; the ranges are listed in Table III. The search uses Differential Evolution (DE/rand/1/bin) with dithering and Latin-hypercube initialisation, scored by the Bayesian network. When objectives conflict—for example, reducing unemployment while containing inflation—the search uses NSGA-II-style selection, ranking candidates by non-domination and then by crowding distance, and returns a Pareto front rather than silently selecting a single trade-off. To make the search’s value visible rather than assumed, an equal-budget random-search control is reported alongside the front. Because a full-population evaluation is expensive, the search tier uses a reduced agent sample and coarser periods; this is the only approximation in the system, and the interface labels it as such. All randomness is seeded, so the same seed reproduces the same front.</w:t>
      </w:r>
    </w:p>
    <w:p>
      <w:pPr>
        <w:pStyle w:val="figurecaption"/>
      </w:pPr>
      <w:r>
        <w:rPr>
          <w:b/>
        </w:rPr>
        <w:t xml:space="preserve">TABLE III</w:t>
      </w:r>
      <w:r>
        <w:t xml:space="preserve"> — Policy-Search Genes and Ranges</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Gene</w:t>
            </w:r>
          </w:p>
        </w:tc>
        <w:tc>
          <w:tcPr/>
          <w:p>
            <w:pPr>
              <w:pStyle w:val="tablehead"/>
            </w:pPr>
            <w:r>
              <w:t xml:space="preserve">Range</w:t>
            </w:r>
          </w:p>
        </w:tc>
        <w:tc>
          <w:tcPr/>
          <w:p>
            <w:pPr>
              <w:pStyle w:val="tablehead"/>
            </w:pPr>
            <w:r>
              <w:t xml:space="preserve">Unit</w:t>
            </w:r>
          </w:p>
        </w:tc>
      </w:tr>
      <w:tr>
        <w:tc>
          <w:tcPr/>
          <w:p>
            <w:pPr>
              <w:pStyle w:val="tablecopy"/>
            </w:pPr>
            <w:r>
              <w:t xml:space="preserve">intensity</w:t>
            </w:r>
          </w:p>
        </w:tc>
        <w:tc>
          <w:tcPr/>
          <w:p>
            <w:pPr>
              <w:pStyle w:val="tablecopy"/>
            </w:pPr>
            <w:r>
              <w:t xml:space="preserve">0.05 – 1.00</w:t>
            </w:r>
          </w:p>
        </w:tc>
        <w:tc>
          <w:tcPr/>
          <w:p>
            <w:pPr>
              <w:pStyle w:val="tablecopy"/>
            </w:pPr>
            <w:r>
              <w:t xml:space="preserve">share of instrument strength</w:t>
            </w:r>
          </w:p>
        </w:tc>
      </w:tr>
      <w:tr>
        <w:tc>
          <w:tcPr/>
          <w:p>
            <w:pPr>
              <w:pStyle w:val="tablecopy"/>
            </w:pPr>
            <w:r>
              <w:t xml:space="preserve">budget</w:t>
            </w:r>
          </w:p>
        </w:tc>
        <w:tc>
          <w:tcPr/>
          <w:p>
            <w:pPr>
              <w:pStyle w:val="tablecopy"/>
            </w:pPr>
            <w:r>
              <w:t xml:space="preserve">₹2,000,000 – ₹200,000,000</w:t>
            </w:r>
          </w:p>
        </w:tc>
        <w:tc>
          <w:tcPr/>
          <w:p>
            <w:pPr>
              <w:pStyle w:val="tablecopy"/>
            </w:pPr>
            <w:r>
              <w:t xml:space="preserve">total programme cost (INR)</w:t>
            </w:r>
          </w:p>
        </w:tc>
      </w:tr>
      <w:tr>
        <w:tc>
          <w:tcPr/>
          <w:p>
            <w:pPr>
              <w:pStyle w:val="tablecopy"/>
            </w:pPr>
            <w:r>
              <w:t xml:space="preserve">durationMonths</w:t>
            </w:r>
          </w:p>
        </w:tc>
        <w:tc>
          <w:tcPr/>
          <w:p>
            <w:pPr>
              <w:pStyle w:val="tablecopy"/>
            </w:pPr>
            <w:r>
              <w:t xml:space="preserve">3 – 60 (multiple of 3)</w:t>
            </w:r>
          </w:p>
        </w:tc>
        <w:tc>
          <w:tcPr/>
          <w:p>
            <w:pPr>
              <w:pStyle w:val="tablecopy"/>
            </w:pPr>
            <w:r>
              <w:t xml:space="preserve">months</w:t>
            </w:r>
          </w:p>
        </w:tc>
      </w:tr>
      <w:tr>
        <w:tc>
          <w:tcPr/>
          <w:p>
            <w:pPr>
              <w:pStyle w:val="tablecopy"/>
            </w:pPr>
            <w:r>
              <w:t xml:space="preserve">allocation: housing, education, employment</w:t>
            </w:r>
          </w:p>
        </w:tc>
        <w:tc>
          <w:tcPr/>
          <w:p>
            <w:pPr>
              <w:pStyle w:val="tablecopy"/>
            </w:pPr>
            <w:r>
              <w:t xml:space="preserve">0.02 – 1.00 (normalised to sum to 1)</w:t>
            </w:r>
          </w:p>
        </w:tc>
        <w:tc>
          <w:tcPr/>
          <w:p>
            <w:pPr>
              <w:pStyle w:val="tablecopy"/>
            </w:pPr>
            <w:r>
              <w:t xml:space="preserve">relative weights</w:t>
            </w:r>
          </w:p>
        </w:tc>
      </w:tr>
    </w:tbl>
    <w:p>
      <w:pPr>
        <w:pStyle w:val="Heading2"/>
      </w:pPr>
      <w:r>
        <w:t xml:space="preserve">G. Decision Layer</w:t>
      </w:r>
    </w:p>
    <w:p>
      <w:pPr>
        <w:pStyle w:val="BodyText"/>
      </w:pPr>
      <w:r>
        <w:t xml:space="preserve">At period boundaries the engine may pose typed questions to a decision layer: a </w:t>
      </w:r>
      <w:r>
        <w:rPr>
          <w:i/>
        </w:rPr>
        <w:t xml:space="preserve">Choose</w:t>
      </w:r>
      <w:r>
        <w:t xml:space="preserve"> question selects among declared options, a </w:t>
      </w:r>
      <w:r>
        <w:rPr>
          <w:i/>
        </w:rPr>
        <w:t xml:space="preserve">Score</w:t>
      </w:r>
      <w:r>
        <w:t xml:space="preserve"> question places the situation on a rubric, and a </w:t>
      </w:r>
      <w:r>
        <w:rPr>
          <w:i/>
        </w:rPr>
        <w:t xml:space="preserve">Noul</w:t>
      </w:r>
      <w:r>
        <w:t xml:space="preserve"> question returns the probability that a stated condition holds. The default engine is a deterministic rule table; a model-backed engine can be configured through a server-side proxy, but the deterministic table is used for the search tier and as a fallback. The decision layer is never the source of a displayed number; it adjusts trajectory parameters, and the run records the number of calls, the mean confidence, the escalation rate below the automation threshold, and whether a fallback occurred, all of which are surfaced in the interface rather than hidden.</w:t>
      </w:r>
    </w:p>
    <w:p>
      <w:pPr>
        <w:pStyle w:val="Heading2"/>
      </w:pPr>
      <w:r>
        <w:t xml:space="preserve">H. Accounting Identities and the Evidence Pack</w:t>
      </w:r>
    </w:p>
    <w:p>
      <w:pPr>
        <w:pStyle w:val="BodyText"/>
      </w:pPr>
      <w:r>
        <w:t xml:space="preserve">No macro quantity is set directly. Every headline metric is a stated summation over the agent population, and the accounting identities that connect those summations are asserted on every period of every full-population run; a run that does not balance raises an accounting-violation error rather than returning numbers. A result is a deterministic function of population, policy vector, engine version, and seed, and the acceptance suite runs the same request twice and asserts that the point metrics, the baseline, and the trajectories are identical.</w:t>
      </w:r>
    </w:p>
    <w:p>
      <w:pPr>
        <w:pStyle w:val="BodyText"/>
      </w:pPr>
      <w:r>
        <w:t xml:space="preserve">Each run also assembles an evidence pack that groups its checks into population, network, aggregation, optimisation, reproducibility, and decision categories, and reports exactly which checks passed. Guardrail checks and risk alerts are likewise presented with the result. A failed identity indicates that the run is not internally consistent and that its numbers should not be used; a failed direction check indicates that the network moved against its documented sign.</w:t>
      </w:r>
    </w:p>
    <w:p>
      <w:pPr>
        <w:pStyle w:val="Heading2"/>
      </w:pPr>
      <w:r>
        <w:t xml:space="preserve">I. Data and Dashboard Layer</w:t>
      </w:r>
    </w:p>
    <w:p>
      <w:pPr>
        <w:pStyle w:val="BodyText"/>
      </w:pPr>
      <w:r>
        <w:t xml:space="preserve">The dashboard and data-intelligence pages read from the same generated population the Simulation Lab simulates, so a figure shown on those pages can be traced back to the generator and to the provenance ledger. Earlier versions of those pages rendered invented sample data with no provenance, which was itself a criticism raised during evaluation; the mock data has been removed. Two series that the population cannot honestly support—a multi-year employment trend and a cost-of-living index over time—were deliberately dropped rather than fabricated, because the town is a single Census-2011 snapshot and the engine has no time series for it. They were replaced with cross-sectional facts the population genuinely supports, such as worker status by age band and sector composition.</w:t>
      </w:r>
    </w:p>
    <w:p>
      <w:pPr>
        <w:pStyle w:val="Heading1"/>
      </w:pPr>
      <w:r>
        <w:t xml:space="preserve">V. THE AI POLICY ADVISOR</w:t>
      </w:r>
    </w:p>
    <w:p>
      <w:pPr>
        <w:pStyle w:val="BodyText"/>
      </w:pPr>
      <w:r>
        <w:t xml:space="preserve">The AI Policy Advisor is an implemented, optional service that accepts a natural-language policy goal and returns a small set of structured candidate policies, each with a name, description, expected benefits, expected risks, and the population segment affected. It is independent of the Simulation Lab: it proposes policies, and the Lab evaluates them.</w:t>
      </w:r>
    </w:p>
    <w:p>
      <w:pPr>
        <w:pStyle w:val="Heading2"/>
      </w:pPr>
      <w:r>
        <w:t xml:space="preserve">A. Multi-Stage Reasoning Pipeline</w:t>
      </w:r>
    </w:p>
    <w:p>
      <w:pPr>
        <w:pStyle w:val="BodyText"/>
      </w:pPr>
      <w:r>
        <w:t xml:space="preserve">Rather than a single monolithic prompt, policy generation is modelled as a graph of reasoning stages using LangGraph [13]. The pipeline has three nodes. The first, dashboard extraction, loads six multi-domain datasets (economy, demographics, education, healthcare, infrastructure, and governance) with Pandas and reduces them to statistical summaries, highlights, and anomalies. The second, insight generation, prompts a hosted LLM with those statistics and the user’s goal to produce a small number of natural-language insights about the town’s current state. The third, policy generation, prompts the LLM with those insights and the original goal to produce a structured JSON array of candidate policies. Splitting the work keeps each LLM call focused on a narrower task than an end-to-end prompt would require, and makes the intermediate insights available as explanatory context alongside the final recommendations. LLM calls are wrapped with retry with backoff and a small in-memory cache for robustness.</w:t>
      </w:r>
    </w:p>
    <w:p>
      <w:pPr>
        <w:pStyle w:val="Heading2"/>
      </w:pPr>
      <w:r>
        <w:t xml:space="preserve">B. Service and Frontend Integration</w:t>
      </w:r>
    </w:p>
    <w:p>
      <w:pPr>
        <w:pStyle w:val="BodyText"/>
      </w:pPr>
      <w:r>
        <w:t xml:space="preserve">The pipeline is exposed through a FastAPI service [12], which defines a health endpoint and a policy endpoint that returns the generated policies together with the chart extracts and any non-fatal pipeline warnings. The frontend calls the policy endpoint and renders each candidate’s benefits, risks, and affected groups; warnings are surfaced to the user without blocking the response. The service reads its datasets at request time, so new town data is reflected on the next call rather than requiring a separately regenerated snapshot.</w:t>
      </w:r>
    </w:p>
    <w:p>
      <w:pPr>
        <w:pStyle w:val="Heading2"/>
      </w:pPr>
      <w:r>
        <w:t xml:space="preserve">C. Credential Handling</w:t>
      </w:r>
    </w:p>
    <w:p>
      <w:pPr>
        <w:pStyle w:val="BodyText"/>
      </w:pPr>
      <w:r>
        <w:t xml:space="preserve">The LLM provider key is held server-side in the backend environment and is never shipped to the browser. This distinction matters because any client-side, build-time environment variable is compiled into the public JavaScript bundle and would be readable by every visitor. Consequently, provider secrets belong on the server or behind a proxy; only genuinely public values may appear in the client. The Advisor service is optional, and the rest of the platform runs without it.</w:t>
      </w:r>
    </w:p>
    <w:p>
      <w:pPr>
        <w:pStyle w:val="Heading1"/>
      </w:pPr>
      <w:r>
        <w:t xml:space="preserve">VI. DATA FOUNDATION: FROM AGGREGATE RECORDS TO CENSUS-ANCHORED MICRODATA</w:t>
      </w:r>
    </w:p>
    <w:p>
      <w:pPr>
        <w:pStyle w:val="BodyText"/>
      </w:pPr>
      <w:r>
        <w:t xml:space="preserve">During project evaluation, reviewers raised two related concerns about the underlying data: that the available corpus of town-level records across six domains was too small to credibly train and test agent-level models, and that a considerably larger record count would be expected for the project to be considered adequately grounded. Investigation surfaced a more fundamental issue than record count. Internal consistency checks showed that demographic sub-totals summed to the reported total population in fewer than six percent of the original records, indicating that the individual fields had been generated independently rather than as a coherent synthetic town.</w:t>
      </w:r>
    </w:p>
    <w:p>
      <w:pPr>
        <w:pStyle w:val="BodyText"/>
      </w:pPr>
      <w:r>
        <w:t xml:space="preserve">Rather than patching the aggregate corpus or inflating it with independently sampled agents, the project replaced it for simulation purposes with a single town modelled at individual-citizen granularity. One agent per citizen of Pandharpur yields 98,923 agent-level records, which exceeds the scale bar named during evaluation, and every verified total is reproduced exactly by construction, which addresses the consistency concern directly. This is a deliberate change of granularity: a smaller number of internally consistent, individually varied citizens is more defensible for agent-level modelling than a larger number of aggregate records whose fields are mutually inconsistent. The old aggregate corpus is retained only for the advisor’s cross-domain narrative and is not used for agent simulation. Fields that the Census does not record—income, sector, education, and housing—are modelled and tagged accordingly, so the system never presents a modelled quantity as measured data.</w:t>
      </w:r>
    </w:p>
    <w:p>
      <w:pPr>
        <w:pStyle w:val="Heading1"/>
      </w:pPr>
      <w:r>
        <w:t xml:space="preserve">VII. PERSISTENCE, REPRODUCIBILITY, AND VERIFICATION</w:t>
      </w:r>
    </w:p>
    <w:p>
      <w:pPr>
        <w:pStyle w:val="Heading2"/>
      </w:pPr>
      <w:r>
        <w:t xml:space="preserve">A. Persistence</w:t>
      </w:r>
    </w:p>
    <w:p>
      <w:pPr>
        <w:pStyle w:val="BodyText"/>
      </w:pPr>
      <w:r>
        <w:t xml:space="preserve">A saved simulation run stores the policy name and type, the run identifier and seed, the headline and baseline metrics, the alerts, the engine versions, and an effectiveness score. Persistence works in two layers. The first and verified layer stores runs in the browser, so saving works and the saved reports view reads real runs without any backend. The second, optional layer mirrors the same run into a Supabase Postgres table when the project is configured with a Supabase URL and publishable key and a signed-in user identifier is available; a failure in that layer is reported to the user and never discards the local copy. A row-level-security migration defines three tables for profiles, simulations, and saved reports, each scoped to the authenticated user [12]. Because the current sign-in is a local stub that does not provide a user identifier, the remote path is wired and type-checked but has not been exercised end to end; connecting real authentication is the remaining piece, and this is stated rather than implied.</w:t>
      </w:r>
    </w:p>
    <w:p>
      <w:pPr>
        <w:pStyle w:val="BodyText"/>
      </w:pPr>
      <w:r>
        <w:t xml:space="preserve">The effectiveness score stored with a run is a deterministic ranking aid computed from the run’s own metrics against its baseline. It aggregates weighted, normalised movements in employment, growth, happiness, inflation, inequality, and protest risk, with a midpoint denoting no measurable change against the no-policy baseline. It is a deterministic function of the result, not a forecast and not an LLM judgement.</w:t>
      </w:r>
    </w:p>
    <w:p>
      <w:pPr>
        <w:pStyle w:val="Heading2"/>
      </w:pPr>
      <w:r>
        <w:t xml:space="preserve">B. Reproducibility</w:t>
      </w:r>
    </w:p>
    <w:p>
      <w:pPr>
        <w:pStyle w:val="BodyText"/>
      </w:pPr>
      <w:r>
        <w:t xml:space="preserve">All randomness is seeded. The population generator hashes its inputs into a manifest, and the engine uses a seeded generator throughout, so the same population, policy vector, engine version, and seed produce identical results. The acceptance suite exercises this by running the same request twice and asserting equality of the point metrics, the baseline, and the trajectories.</w:t>
      </w:r>
    </w:p>
    <w:p>
      <w:pPr>
        <w:pStyle w:val="Heading2"/>
      </w:pPr>
      <w:r>
        <w:t xml:space="preserve">C. Verification Approach</w:t>
      </w:r>
    </w:p>
    <w:p>
      <w:pPr>
        <w:pStyle w:val="BodyText"/>
      </w:pPr>
      <w:r>
        <w:t xml:space="preserve">Verification combines in-engine assertions with an automated acceptance suite. The engine asserts the Census totals and the accounting identities on every run; it validates the network’s documented response directions on every run; and it emits the results as the evidence pack described in Section IV-H. The acceptance suite covers the population generator, the network directions, the accounting identities, determinism, the search, the zone partition, and the wiring of the pages and persistence, so that the interface is shown to render computed output rather than mock samples.</w:t>
      </w:r>
    </w:p>
    <w:p>
      <w:pPr>
        <w:pStyle w:val="Heading1"/>
      </w:pPr>
      <w:r>
        <w:t xml:space="preserve">VIII. VERIFICATION RESULTS</w:t>
      </w:r>
    </w:p>
    <w:p>
      <w:pPr>
        <w:pStyle w:val="BodyText"/>
      </w:pPr>
      <w:r>
        <w:t xml:space="preserve">The results reported here are correctness and consistency results, not predictive-accuracy claims. They establish that the engine computes what it says it computes, that it is reproducible, and that its documented behaviour holds; they do not establish that its magnitudes match reality, which is discussed in Section IX.</w:t>
      </w:r>
    </w:p>
    <w:p>
      <w:pPr>
        <w:pStyle w:val="BodyText"/>
      </w:pPr>
      <w:r>
        <w:rPr>
          <w:b/>
        </w:rPr>
        <w:t xml:space="preserve">Population fidelity.</w:t>
      </w:r>
      <w:r>
        <w:t xml:space="preserve"> The generated population reproduces the verified Census anchors exactly: 98,923 agents; 50,645 male and 48,278 female; 20,054 households with a mean size of 4.93; 11,151 children aged 0–6; effective literacy of 81.11% for males and 72.45% for females; 30,855 workers (25,162 male, 5,693 female); and all 33 wards populated. Age-band and sex sub-totals are internally consistent for every agent, and enforced dependencies hold, including literacy that does not decrease across income classes and a strictly higher probability of working among literate than non-literate working-age agents. The generator also supports substantially more behavioural cells than the ten representative groups of the earlier prototype, with no citizen silently dropped.</w:t>
      </w:r>
    </w:p>
    <w:p>
      <w:pPr>
        <w:pStyle w:val="BodyText"/>
      </w:pPr>
      <w:r>
        <w:rPr>
          <w:b/>
        </w:rPr>
        <w:t xml:space="preserve">Network behaviour.</w:t>
      </w:r>
      <w:r>
        <w:t xml:space="preserve"> The network’s documented response directions are validated on every run. Interventions are causal (</w:t>
      </w:r>
      <w:r>
        <w:rPr>
          <w:i/>
        </w:rPr>
        <w:t xml:space="preserve">do</w:t>
      </w:r>
      <w:r>
        <w:t xml:space="preserve">-operator by graph mutilation), and the checks confirm expected directions, such as a subsidy raising the probability of formal employment, a high budget share raising the probability of high inflation, and housing improving positive sentiment. The suite asserts that every documented direction holds with no failures.</w:t>
      </w:r>
    </w:p>
    <w:p>
      <w:pPr>
        <w:pStyle w:val="BodyText"/>
      </w:pPr>
      <w:r>
        <w:rPr>
          <w:b/>
        </w:rPr>
        <w:t xml:space="preserve">Accounting and reproducibility.</w:t>
      </w:r>
      <w:r>
        <w:t xml:space="preserve"> The headline metrics satisfy their stated summation identities on every period of every run, and a run that does not balance fails loudly. Repeating a request with the same seed reproduces the point metrics, baseline, and trajectories identically.</w:t>
      </w:r>
    </w:p>
    <w:p>
      <w:pPr>
        <w:pStyle w:val="BodyText"/>
      </w:pPr>
      <w:r>
        <w:rPr>
          <w:b/>
        </w:rPr>
        <w:t xml:space="preserve">Policy search.</w:t>
      </w:r>
      <w:r>
        <w:t xml:space="preserve"> The Differential Evolution search converges toward a known optimum on a controlled test, is seed-deterministic, produces a correct non-dominated front on a multi-objective test, and is reported together with an equal-budget random-search control so that the value of the search can be judged rather than assumed.</w:t>
      </w:r>
    </w:p>
    <w:p>
      <w:pPr>
        <w:pStyle w:val="BodyText"/>
      </w:pPr>
      <w:r>
        <w:rPr>
          <w:b/>
        </w:rPr>
        <w:t xml:space="preserve">Integration.</w:t>
      </w:r>
      <w:r>
        <w:t xml:space="preserve"> The Dashboard, Data Intelligence, Alerts, Saved Reports, and Simulation Lab pages render computed population and engine data, and the mock samples used in earlier versions have been removed. Saved runs persist through the browser layer and can be optionally mirrored to Supabase when it is configured.</w:t>
      </w:r>
    </w:p>
    <w:p>
      <w:pPr>
        <w:pStyle w:val="Heading1"/>
      </w:pPr>
      <w:r>
        <w:t xml:space="preserve">IX. LIMITATIONS AND THREATS TO VALIDITY</w:t>
      </w:r>
    </w:p>
    <w:p>
      <w:pPr>
        <w:pStyle w:val="BodyText"/>
      </w:pPr>
      <w:r>
        <w:t xml:space="preserve">The system is deliberately explicit about its boundaries, and a permanent model-limitations panel is shown in the Simulation Lab rather than buried in documentation. The principal limitations are as follows.</w:t>
      </w:r>
    </w:p>
    <w:p>
      <w:pPr>
        <w:pStyle w:val="BodyText"/>
      </w:pPr>
      <w:r>
        <w:t xml:space="preserve">• </w:t>
      </w:r>
      <w:r>
        <w:rPr>
          <w:b/>
        </w:rPr>
        <w:t xml:space="preserve">Uncalibrated magnitudes.</w:t>
      </w:r>
      <w:r>
        <w:t xml:space="preserve"> Response directions are validated, but magnitudes are not calibrated against an evaluated real programme. Anchoring income and sector to official household-consumption or district-industry tables is the work that would make the sizes claimable. Instrument effects are correspondingly an uncalibrated prior shift applied every period.</w:t>
      </w:r>
    </w:p>
    <w:p>
      <w:pPr>
        <w:pStyle w:val="BodyText"/>
      </w:pPr>
      <w:r>
        <w:t xml:space="preserve">• </w:t>
      </w:r>
      <w:r>
        <w:rPr>
          <w:b/>
        </w:rPr>
        <w:t xml:space="preserve">Modelled fields.</w:t>
      </w:r>
      <w:r>
        <w:t xml:space="preserve"> Income, sector, education, and housing are modelled, not measured; only population, the sex split, households, children aged 0–6, literacy, the SC/ST shares, and worker counts are verified Census figures.</w:t>
      </w:r>
    </w:p>
    <w:p>
      <w:pPr>
        <w:pStyle w:val="BodyText"/>
      </w:pPr>
      <w:r>
        <w:t xml:space="preserve">• </w:t>
      </w:r>
      <w:r>
        <w:rPr>
          <w:b/>
        </w:rPr>
        <w:t xml:space="preserve">Single town, closed economy.</w:t>
      </w:r>
      <w:r>
        <w:t xml:space="preserve"> The model covers one town. It does not represent migration between towns or spillover from neighbouring economies, and it does not model external economic shocks such as a recession, a new national policy, or a commodity-price movement.</w:t>
      </w:r>
    </w:p>
    <w:p>
      <w:pPr>
        <w:pStyle w:val="BodyText"/>
      </w:pPr>
      <w:r>
        <w:t xml:space="preserve">• </w:t>
      </w:r>
      <w:r>
        <w:rPr>
          <w:b/>
        </w:rPr>
        <w:t xml:space="preserve">Assumed geography.</w:t>
      </w:r>
      <w:r>
        <w:t xml:space="preserve"> The ward-to-zone mapping uses population-balanced contiguous ranges, which is an assumption rather than sourced ward geography.</w:t>
      </w:r>
    </w:p>
    <w:p>
      <w:pPr>
        <w:pStyle w:val="BodyText"/>
      </w:pPr>
      <w:r>
        <w:t xml:space="preserve">• </w:t>
      </w:r>
      <w:r>
        <w:rPr>
          <w:b/>
        </w:rPr>
        <w:t xml:space="preserve">Ordinal inflation.</w:t>
      </w:r>
      <w:r>
        <w:t xml:space="preserve"> Inflation is reported from a three-value band computed from aggregate demand, so it can take only those three values and should be treated as an ordinal band rather than a point estimate.</w:t>
      </w:r>
    </w:p>
    <w:p>
      <w:pPr>
        <w:pStyle w:val="BodyText"/>
      </w:pPr>
      <w:r>
        <w:t xml:space="preserve">• </w:t>
      </w:r>
      <w:r>
        <w:rPr>
          <w:b/>
        </w:rPr>
        <w:t xml:space="preserve">Partial scenario coverage.</w:t>
      </w:r>
      <w:r>
        <w:t xml:space="preserve"> Of the scenario levers exposed in the interface, only adoption currently reaches the model; the capability, autonomy, productivity, and reallocation levers are declared but not yet read by the engine, and the policy-duration parameter currently has no outgoing effect. These are known and documented rather than concealed, and closing them is future work.</w:t>
      </w:r>
    </w:p>
    <w:p>
      <w:pPr>
        <w:pStyle w:val="BodyText"/>
      </w:pPr>
      <w:r>
        <w:t xml:space="preserve">• </w:t>
      </w:r>
      <w:r>
        <w:rPr>
          <w:b/>
        </w:rPr>
        <w:t xml:space="preserve">Persistence caveat.</w:t>
      </w:r>
      <w:r>
        <w:t xml:space="preserve"> The browser storage path is the verified one; the Supabase mirror is wired and type-checked but has not been exercised end to end because the current sign-in does not supply a user identifier.</w:t>
      </w:r>
    </w:p>
    <w:p>
      <w:pPr>
        <w:pStyle w:val="BodyText"/>
      </w:pPr>
      <w:r>
        <w:t xml:space="preserve">• </w:t>
      </w:r>
      <w:r>
        <w:rPr>
          <w:b/>
        </w:rPr>
        <w:t xml:space="preserve">Not a forecasting service, not peer-reviewed.</w:t>
      </w:r>
      <w:r>
        <w:t xml:space="preserve"> The platform is a counterfactual comparison tool and carries no claim of predictive accuracy. Unlike the interactive scenario explorers that inspired its presentation, it has not been reviewed by external domain experts and is not backed by a population survey of assumptions.</w:t>
      </w:r>
    </w:p>
    <w:p>
      <w:pPr>
        <w:pStyle w:val="Heading1"/>
      </w:pPr>
      <w:r>
        <w:t xml:space="preserve">X. CONCLUSION AND FUTURE WORK</w:t>
      </w:r>
    </w:p>
    <w:p>
      <w:pPr>
        <w:pStyle w:val="BodyText"/>
      </w:pPr>
      <w:r>
        <w:t xml:space="preserve">This paper has presented Meta Society, a smart-governance platform that combines an LLM-based policy advisor with an inspectable simulation engine. The AI Policy Advisor is implemented and exposes a three-stage reasoning pipeline, orchestrated with LangGraph and served through a FastAPI backend, that turns a natural-language goal and multi-domain town statistics into structured candidate policies. The Simulation Lab is likewise implemented: it generates one agent per citizen for a real town so that published Census 2011 totals are reproduced exactly; it models reactions with a 29-node Bayesian network whose tables are counted from the population wherever possible and whose interventions are causal; it rolls the model forward with distinct channel lags and a model-generated counterfactual baseline; and it searches the policy-parameter space with Differential Evolution and NSGA-II selection, reported alongside a random-search control. Every headline metric is a summation over the agent population, and every run re-checks the accounting identities, the documented network directions, and reproducibility as an evidence pack. We have also documented why a regression-based agent model was replaced, and how the project moved from an aggregate corpus of questionable internal consistency to census-anchored microdata.</w:t>
      </w:r>
    </w:p>
    <w:p>
      <w:pPr>
        <w:pStyle w:val="BodyText"/>
      </w:pPr>
      <w:r>
        <w:t xml:space="preserve">Future work follows directly from the limitations. The highest-priority item is calibration: anchoring income and sector to official household-consumption and district-industry sources so that the model’s magnitudes, and not only its directions, become claimable. Complementary work includes replacing the assumed ward-to-zone mapping with sourced ward geography; auditing the literacy definition against the primary Census publication; completing real authentication so that the Supabase persistence path can be verified end to end; and extending the scenario levers so that every exposed control reaches the engine. A longer-term, explicitly post-launch direction is to accumulate the engine’s own rollouts and distil them into a faster learned predictor of state, in the same non-generative spirit of predicting structured state rather than generating text. Finally, extending the population and network to additional towns would allow the platform to compare policy outcomes across local contexts rather than within a single pilot.</w:t>
      </w:r>
    </w:p>
    <w:p>
      <w:pPr>
        <w:pStyle w:val="Heading1"/>
      </w:pPr>
      <w:r>
        <w:t xml:space="preserve">REFERENCES</w:t>
      </w:r>
    </w:p>
    <w:p>
      <w:pPr>
        <w:pStyle w:val="references"/>
      </w:pPr>
      <w:r>
        <w:t xml:space="preserve">[1] E. Bonabeau, “Agent-based modeling: Methods and techniques for simulating human systems,” Proceedings of the National Academy of Sciences, vol. 99, suppl. 3, pp. 7280–7287, 2002.</w:t>
      </w:r>
    </w:p>
    <w:p>
      <w:pPr>
        <w:pStyle w:val="references"/>
      </w:pPr>
      <w:r>
        <w:t xml:space="preserve">[2] L. Breiman, “Random forests,” Machine Learning, vol. 45, no. 1, pp. 5–32, 2001.</w:t>
      </w:r>
    </w:p>
    <w:p>
      <w:pPr>
        <w:pStyle w:val="references"/>
      </w:pPr>
      <w:r>
        <w:t xml:space="preserve">[3] J. Pearl, Probabilistic Reasoning in Intelligent Systems: Networks of Plausible Inference. San Francisco, CA, USA: Morgan Kaufmann, 1988.</w:t>
      </w:r>
    </w:p>
    <w:p>
      <w:pPr>
        <w:pStyle w:val="references"/>
      </w:pPr>
      <w:r>
        <w:t xml:space="preserve">[4] D. Koller and N. Friedman, Probabilistic Graphical Models: Principles and Techniques. Cambridge, MA, USA: MIT Press, 2009.</w:t>
      </w:r>
    </w:p>
    <w:p>
      <w:pPr>
        <w:pStyle w:val="references"/>
      </w:pPr>
      <w:r>
        <w:t xml:space="preserve">[5] R. Storn and K. Price, “Differential evolution—A simple and efficient heuristic for global optimization over continuous spaces,” Journal of Global Optimization, vol. 11, no. 4, pp. 341–359, 1997.</w:t>
      </w:r>
    </w:p>
    <w:p>
      <w:pPr>
        <w:pStyle w:val="references"/>
      </w:pPr>
      <w:r>
        <w:t xml:space="preserve">[6] S. Das and P. N. Suganthan, “Differential evolution: A survey of the state-of-the-art,” IEEE Transactions on Evolutionary Computation, vol. 15, no. 1, pp. 4–31, 2011.</w:t>
      </w:r>
    </w:p>
    <w:p>
      <w:pPr>
        <w:pStyle w:val="references"/>
      </w:pPr>
      <w:r>
        <w:t xml:space="preserve">[7] K. Deb, A. Pratap, S. Agarwal, and T. Meyarivan, “A fast and elitist multiobjective genetic algorithm: NSGA-II,” IEEE Transactions on Evolutionary Computation, vol. 6, no. 2, pp. 182–197, 2002.</w:t>
      </w:r>
    </w:p>
    <w:p>
      <w:pPr>
        <w:pStyle w:val="references"/>
      </w:pPr>
      <w:r>
        <w:t xml:space="preserve">[8] J. Wu, B. Hu, J. Zhang, and D. Fang, “Multi-agent simulation of group behavior in E-Government policy decision,” Simulation Modelling Practice and Theory, vol. 16, no. 10, pp. 1571–1587, 2008.</w:t>
      </w:r>
    </w:p>
    <w:p>
      <w:pPr>
        <w:pStyle w:val="references"/>
      </w:pPr>
      <w:r>
        <w:t xml:space="preserve">[9] J. Liu, C. Chu, Y. Zhao, G. Aoki, and Z. Xiao, “Agentic AI for sustainable development: Leveraging large language model-enhanced agent-based modeling for complex policy strategies,” Emerging Media, vol. 3, no. 3, pp. 401–413, 2025.</w:t>
      </w:r>
    </w:p>
    <w:p>
      <w:pPr>
        <w:pStyle w:val="references"/>
      </w:pPr>
      <w:r>
        <w:t xml:space="preserve">[10] L. Hughes et al., “AI agents and agentic systems: A multi-expert analysis,” Journal of Computer Information Systems, vol. 65, no. 4, pp. 489–517, 2025.</w:t>
      </w:r>
    </w:p>
    <w:p>
      <w:pPr>
        <w:pStyle w:val="references"/>
      </w:pPr>
      <w:r>
        <w:t xml:space="preserve">[11] Government of India, “District Census Handbook, Solapur—Census of India 2011,” Office of the Registrar General &amp; Census Commissioner, India, 2011.</w:t>
      </w:r>
    </w:p>
    <w:p>
      <w:pPr>
        <w:pStyle w:val="references"/>
      </w:pPr>
      <w:r>
        <w:t xml:space="preserve">[12] Supabase Inc., “Supabase documentation.” [Online]. Available: https://supabase.com/docs</w:t>
      </w:r>
    </w:p>
    <w:p>
      <w:pPr>
        <w:pStyle w:val="references"/>
      </w:pPr>
      <w:r>
        <w:t xml:space="preserve">[13] LangChain Inc., “LangGraph documentation.” [Online]. Available: https://langchain-ai.github.io/langgraph/</w:t>
      </w:r>
    </w:p>
    <w:sectPr>
      <w:pgSz w:w="12240" w:h="15840"/>
      <w:pgMar w:top="1080" w:right="1080" w:bottom="1080" w:left="1080" w:header="720" w:footer="720" w:gutter="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15B50C" w14:textId="77777777" w:rsidR="00B405B7" w:rsidRDefault="00B405B7" w:rsidP="001A3B3D">
      <w:r>
        <w:separator/>
      </w:r>
    </w:p>
  </w:endnote>
  <w:endnote w:type="continuationSeparator" w:id="0">
    <w:p w14:paraId="7D99F6FB" w14:textId="77777777" w:rsidR="00B405B7" w:rsidRDefault="00B405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F47725"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F0CAD49"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56EF4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F775E6" w14:textId="77777777" w:rsidR="00B405B7" w:rsidRDefault="00B405B7" w:rsidP="001A3B3D">
      <w:r>
        <w:separator/>
      </w:r>
    </w:p>
  </w:footnote>
  <w:footnote w:type="continuationSeparator" w:id="0">
    <w:p w14:paraId="7B4BDADE" w14:textId="77777777" w:rsidR="00B405B7" w:rsidRDefault="00B405B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E322BF"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3D663DA"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3951A1"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0F0959"/>
    <w:rsid w:val="001A2EFD"/>
    <w:rsid w:val="001A3B3D"/>
    <w:rsid w:val="001B67DC"/>
    <w:rsid w:val="002254A9"/>
    <w:rsid w:val="00230DB3"/>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4E1C63"/>
    <w:rsid w:val="005067CE"/>
    <w:rsid w:val="00551B7F"/>
    <w:rsid w:val="0056610F"/>
    <w:rsid w:val="00575BCA"/>
    <w:rsid w:val="00582C8E"/>
    <w:rsid w:val="005B0344"/>
    <w:rsid w:val="005B520E"/>
    <w:rsid w:val="005E2800"/>
    <w:rsid w:val="005E3574"/>
    <w:rsid w:val="00605825"/>
    <w:rsid w:val="00635833"/>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373C1"/>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72601"/>
    <w:rsid w:val="00AE3409"/>
    <w:rsid w:val="00B11A60"/>
    <w:rsid w:val="00B22613"/>
    <w:rsid w:val="00B405B7"/>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2A32"/>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CC465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82A32"/>
    <w:rPr>
      <w:color w:val="0563C1" w:themeColor="hyperlink"/>
      <w:u w:val="single"/>
    </w:rPr>
  </w:style>
  <w:style w:type="character" w:styleId="UnresolvedMention">
    <w:name w:val="Unresolved Mention"/>
    <w:basedOn w:val="DefaultParagraphFont"/>
    <w:uiPriority w:val="99"/>
    <w:semiHidden/>
    <w:unhideWhenUsed/>
    <w:rsid w:val="00E82A3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yperlink" Target="https://doi.org/10.1177/27523543251365678" TargetMode="External"/><Relationship Id="rId3" Type="http://purl.oclc.org/ooxml/officeDocument/relationships/styles" Target="styles.xml"/><Relationship Id="rId21" Type="http://purl.oclc.org/ooxml/officeDocument/relationships/hyperlink" Target="https://doi.org/10.1007/s41019-025-00335-5" TargetMode="External"/><Relationship Id="rId7" Type="http://purl.oclc.org/ooxml/officeDocument/relationships/endnotes" Target="endnotes.xml"/><Relationship Id="rId12" Type="http://purl.oclc.org/ooxml/officeDocument/relationships/header" Target="header3.xml"/><Relationship Id="rId17" Type="http://purl.oclc.org/ooxml/officeDocument/relationships/hyperlink" Target="https://doi.org/10.1177/27523543251365678" TargetMode="External"/><Relationship Id="rId2" Type="http://purl.oclc.org/ooxml/officeDocument/relationships/numbering" Target="numbering.xml"/><Relationship Id="rId16" Type="http://purl.oclc.org/ooxml/officeDocument/relationships/hyperlink" Target="https://doi.org/10.1007/s41019-025-00335-5" TargetMode="External"/><Relationship Id="rId20" Type="http://purl.oclc.org/ooxml/officeDocument/relationships/hyperlink" Target="https://doi.org/10.1016/j.simpat.2007.07.00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arxiv.org/abs/2312.10997&#160;" TargetMode="External"/><Relationship Id="rId23" Type="http://purl.oclc.org/ooxml/officeDocument/relationships/theme" Target="theme/theme1.xml"/><Relationship Id="rId10" Type="http://purl.oclc.org/ooxml/officeDocument/relationships/footer" Target="footer1.xml"/><Relationship Id="rId19" Type="http://purl.oclc.org/ooxml/officeDocument/relationships/hyperlink" Target="https://doi.org/10.1080/08874417.2025.2483832" TargetMode="Externa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27</TotalTime>
  <Pages>5</Pages>
  <Words>4123</Words>
  <Characters>23504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Meta Society: A Simulation-Driven AI Policy Advisor for Data-Grounded Smart Governance</vt:lpstr>
    </vt:vector>
  </TitlesOfParts>
  <Company>IEEE</Company>
  <LinksUpToDate>false</LinksUpToDate>
  <CharactersWithSpaces>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Society: A Simulation-Driven AI Policy Advisor for Data-Grounded Smart Governance</dc:title>
  <dc:subject/>
  <dc:creator>Priti Chaugule;Mayuri Kulkarni;Priyanka Jadhav;Payal Dongre</dc:creator>
  <cp:keywords/>
  <cp:lastModifiedBy>Priyanka Jadhav</cp:lastModifiedBy>
  <cp:revision>3</cp:revision>
  <dcterms:created xsi:type="dcterms:W3CDTF">2026-10-01T16:13:00Z</dcterms:created>
  <dcterms:modified xsi:type="dcterms:W3CDTF">2026-10-01T16:41:00Z</dcterms:modified>
</cp:coreProperties>
</file>