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4128F668" w14:textId="77777777" w:rsidR="00A72601" w:rsidRPr="005E3574" w:rsidRDefault="00000000">
      <w:pPr>
        <w:pStyle w:val="papertitle"/>
        <w:spacing w:before="5pt" w:beforeAutospacing="1" w:after="5pt" w:afterAutospacing="1"/>
        <w:rPr>
          <w:b/>
          <w:bCs/>
          <w:kern w:val="48"/>
        </w:rPr>
        <w:sectPr w:rsidR="00A72601" w:rsidRPr="005E3574" w:rsidSect="003B4E04">
          <w:headerReference w:type="even" r:id="rId8"/>
          <w:headerReference w:type="default" r:id="rId9"/>
          <w:footerReference w:type="even" r:id="rId10"/>
          <w:footerReference w:type="default" r:id="rId11"/>
          <w:headerReference w:type="first" r:id="rId12"/>
          <w:footerReference w:type="first" r:id="rId13"/>
          <w:pgSz w:w="595.30pt" w:h="841.90pt" w:code="9"/>
          <w:pgMar w:top="27pt" w:right="44.65pt" w:bottom="72pt" w:left="44.65pt" w:header="36pt" w:footer="36pt" w:gutter="0pt"/>
          <w:cols w:space="36pt"/>
          <w:titlePg/>
          <w:docGrid w:linePitch="360"/>
        </w:sectPr>
      </w:pPr>
      <w:r w:rsidRPr="005E3574">
        <w:rPr>
          <w:b/>
          <w:bCs/>
          <w:kern w:val="48"/>
        </w:rPr>
        <w:t>Meta Society: A Simulation-Driven AI Policy Advisor for Data-Grounded Smart Governance</w:t>
      </w:r>
    </w:p>
    <w:p w14:paraId="5B81C993" w14:textId="77777777" w:rsidR="00635833" w:rsidRDefault="00635833">
      <w:pPr>
        <w:pStyle w:val="Author"/>
        <w:spacing w:before="5pt" w:beforeAutospacing="1"/>
        <w:rPr>
          <w:sz w:val="18"/>
          <w:szCs w:val="18"/>
        </w:rPr>
      </w:pPr>
    </w:p>
    <w:p w14:paraId="1D1EE56B" w14:textId="77777777" w:rsidR="00A72601" w:rsidRDefault="00000000">
      <w:pPr>
        <w:pStyle w:val="Author"/>
        <w:spacing w:before="5pt" w:beforeAutospacing="1"/>
        <w:rPr>
          <w:sz w:val="18"/>
          <w:szCs w:val="18"/>
        </w:rPr>
      </w:pPr>
      <w:r>
        <w:rPr>
          <w:sz w:val="18"/>
          <w:szCs w:val="18"/>
        </w:rPr>
        <w:t>Priti Chaugule</w:t>
      </w:r>
      <w:r>
        <w:rPr>
          <w:sz w:val="18"/>
          <w:szCs w:val="18"/>
        </w:rPr>
        <w:br/>
      </w:r>
      <w:r>
        <w:rPr>
          <w:i/>
          <w:sz w:val="18"/>
          <w:szCs w:val="18"/>
        </w:rPr>
        <w:t>Department of Computer Science &amp; Engineering</w:t>
      </w:r>
      <w:r>
        <w:rPr>
          <w:i/>
          <w:sz w:val="18"/>
          <w:szCs w:val="18"/>
        </w:rPr>
        <w:br/>
        <w:t>SKN Sinhgad College of Engineering</w:t>
      </w:r>
    </w:p>
    <w:p w14:paraId="45540B9E" w14:textId="77777777" w:rsidR="00A72601" w:rsidRDefault="00000000">
      <w:pPr>
        <w:pStyle w:val="Author"/>
        <w:spacing w:before="0pt" w:after="0pt"/>
      </w:pPr>
      <w:r>
        <w:rPr>
          <w:sz w:val="18"/>
          <w:szCs w:val="18"/>
        </w:rPr>
        <w:br w:type="column"/>
      </w:r>
    </w:p>
    <w:p w14:paraId="444E8CC2" w14:textId="77777777" w:rsidR="00A72601" w:rsidRDefault="00000000">
      <w:pPr>
        <w:pStyle w:val="Author"/>
        <w:spacing w:before="5pt" w:beforeAutospacing="1"/>
        <w:rPr>
          <w:sz w:val="18"/>
          <w:szCs w:val="18"/>
        </w:rPr>
      </w:pPr>
      <w:r>
        <w:rPr>
          <w:sz w:val="18"/>
          <w:szCs w:val="18"/>
        </w:rPr>
        <w:t>Mayuri Kulkarni</w:t>
      </w:r>
      <w:r>
        <w:rPr>
          <w:sz w:val="18"/>
          <w:szCs w:val="18"/>
        </w:rPr>
        <w:br/>
      </w:r>
      <w:r>
        <w:rPr>
          <w:i/>
          <w:sz w:val="18"/>
          <w:szCs w:val="18"/>
        </w:rPr>
        <w:t>Department of Computer Science &amp; Engineering</w:t>
      </w:r>
      <w:r>
        <w:rPr>
          <w:i/>
          <w:sz w:val="18"/>
          <w:szCs w:val="18"/>
        </w:rPr>
        <w:br/>
        <w:t>SKN Sinhgad College of Engineering</w:t>
      </w:r>
    </w:p>
    <w:p w14:paraId="147AB895" w14:textId="77777777" w:rsidR="00A72601" w:rsidRDefault="00000000">
      <w:pPr>
        <w:pStyle w:val="Author"/>
        <w:spacing w:before="0pt" w:after="0pt"/>
      </w:pPr>
      <w:r>
        <w:rPr>
          <w:sz w:val="18"/>
          <w:szCs w:val="18"/>
        </w:rPr>
        <w:br w:type="column"/>
      </w:r>
    </w:p>
    <w:p w14:paraId="4307F842" w14:textId="77777777" w:rsidR="00A72601" w:rsidRDefault="00000000">
      <w:pPr>
        <w:pStyle w:val="Author"/>
        <w:spacing w:before="5pt" w:beforeAutospacing="1"/>
        <w:rPr>
          <w:sz w:val="18"/>
          <w:szCs w:val="18"/>
        </w:rPr>
      </w:pPr>
      <w:r>
        <w:rPr>
          <w:sz w:val="18"/>
          <w:szCs w:val="18"/>
        </w:rPr>
        <w:t>Priyanka Jadhav</w:t>
      </w:r>
      <w:r>
        <w:rPr>
          <w:sz w:val="18"/>
          <w:szCs w:val="18"/>
        </w:rPr>
        <w:br/>
      </w:r>
      <w:r>
        <w:rPr>
          <w:i/>
          <w:sz w:val="18"/>
          <w:szCs w:val="18"/>
        </w:rPr>
        <w:t>Department of Computer Science &amp; Engineering</w:t>
      </w:r>
      <w:r>
        <w:rPr>
          <w:i/>
          <w:sz w:val="18"/>
          <w:szCs w:val="18"/>
        </w:rPr>
        <w:br/>
        <w:t>SKN Sinhgad College of Engineering</w:t>
      </w:r>
    </w:p>
    <w:p w14:paraId="23CBC46F" w14:textId="77777777" w:rsidR="00A72601" w:rsidRDefault="00000000">
      <w:pPr>
        <w:pStyle w:val="Author"/>
        <w:spacing w:before="0pt" w:after="0pt"/>
      </w:pPr>
      <w:r>
        <w:rPr>
          <w:sz w:val="18"/>
          <w:szCs w:val="18"/>
        </w:rPr>
        <w:br w:type="column"/>
      </w:r>
    </w:p>
    <w:p w14:paraId="5B3BA29A" w14:textId="77777777" w:rsidR="00A72601" w:rsidRDefault="00000000">
      <w:pPr>
        <w:pStyle w:val="Author"/>
        <w:spacing w:before="5pt" w:beforeAutospacing="1"/>
        <w:rPr>
          <w:sz w:val="18"/>
          <w:szCs w:val="18"/>
        </w:rPr>
        <w:sectPr w:rsidR="00A72601">
          <w:type w:val="continuous"/>
          <w:pgSz w:w="595.30pt" w:h="841.90pt" w:code="9"/>
          <w:pgMar w:top="22.50pt" w:right="44.65pt" w:bottom="72pt" w:left="44.65pt" w:header="36pt" w:footer="36pt" w:gutter="0pt"/>
          <w:cols w:num="4" w:space="18pt"/>
          <w:docGrid w:linePitch="360"/>
        </w:sectPr>
      </w:pPr>
      <w:r>
        <w:rPr>
          <w:sz w:val="18"/>
          <w:szCs w:val="18"/>
        </w:rPr>
        <w:t>Payal Dongre</w:t>
      </w:r>
      <w:r>
        <w:rPr>
          <w:sz w:val="18"/>
          <w:szCs w:val="18"/>
        </w:rPr>
        <w:br/>
      </w:r>
      <w:r>
        <w:rPr>
          <w:i/>
          <w:sz w:val="18"/>
          <w:szCs w:val="18"/>
        </w:rPr>
        <w:t>Department of Computer Science &amp; Engineering</w:t>
      </w:r>
      <w:r>
        <w:rPr>
          <w:i/>
          <w:sz w:val="18"/>
          <w:szCs w:val="18"/>
        </w:rPr>
        <w:br/>
        <w:t>SKN Sinhgad College of Engineering</w:t>
      </w:r>
    </w:p>
    <w:p w14:paraId="19D9C457" w14:textId="77777777" w:rsidR="00A72601" w:rsidRDefault="00000000">
      <w:pPr>
        <w:pStyle w:val="Abstract"/>
      </w:pPr>
      <w:r>
        <w:t>Abstract—Policy decisions in local governance are traditionally made with limited empirical grounding, relying on precedent, intuition, or small-scale pilot programs that are slow and costly to run. This paper presents Meta Society, a smart governance platform that lets policymakers define a goal in natural language, receive AI-generated policy recommendations, and evaluate those policies on a virtual town before real-world deployment. The system’s AI Policy Advisor component, implemented as a two-stage large language model (LLM) reasoning pipeline orchestrated with LangGraph and served through a Supabase Edge Function, is fully functional and described in detail. We further document a critical architectural decision: an initial Random Forest approach to modeling how individual citizens (agents) react to a policy was identified as unsuitable due to insufficient labeled training data, lack of explainability, and an inability to represent chained causal relationships between socioeconomic variables. We propose, and are in the process of implementing, a replacement approach that combines a Bayesian Network for probabilistic, explainable modeling of agent-level policy reactions with an Evolutionary Algorithm (Differential Evolution) for searching the continuous space of policy parameters. We also describe a synthetic agent-population generation method designed to address a data-quality gap identified during evaluation, in which town-level aggregate statistics are used to generate a larger, internally consistent, agent-level dataset suitable for training and testing the proposed models. This paper documents the completed AI Policy Advisor pipeline, the system architecture, the rationale behind moving away from Random Forest, and the design of the proposed Bayesian Network and Evolutionary Algorithm components, which are part of ongoing work.</w:t>
      </w:r>
    </w:p>
    <w:p w14:paraId="524E01A4" w14:textId="77777777" w:rsidR="00A72601" w:rsidRDefault="00000000">
      <w:pPr>
        <w:pStyle w:val="Keywords"/>
      </w:pPr>
      <w:r>
        <w:t>Keywords—smart governance, policy simulation, large language models, LangGraph, Bayesian networks, evolutionary computation, differential evolution, agent-based modeling, synthetic population generation</w:t>
      </w:r>
    </w:p>
    <w:p w14:paraId="15A1C7B9" w14:textId="77777777" w:rsidR="00A72601" w:rsidRDefault="00000000">
      <w:pPr>
        <w:pStyle w:val="Heading1"/>
      </w:pPr>
      <w:r>
        <w:t>Introduction</w:t>
      </w:r>
    </w:p>
    <w:p w14:paraId="7A77C132" w14:textId="77777777" w:rsidR="00A72601" w:rsidRDefault="00000000">
      <w:pPr>
        <w:pStyle w:val="BodyText"/>
        <w:rPr>
          <w:lang w:val="en-US"/>
        </w:rPr>
      </w:pPr>
      <w:r>
        <w:rPr>
          <w:lang w:val="en-US"/>
        </w:rPr>
        <w:t>Local and regional policymakers routinely face decisions—adjusting a subsidy, changing a tax rate, expanding a public service—whose downstream social and economic effects are difficult to anticipate without either historical precedent or a live pilot. Experimenting directly on a population carries real cost and risk when a policy turns out to be poorly designed. This motivates a simulation-first approach: test policies on a virtual model of a town populated by AI-driven citizen agents before applying them in the real world.</w:t>
      </w:r>
    </w:p>
    <w:p w14:paraId="5F3B95D2" w14:textId="77777777" w:rsidR="00A72601" w:rsidRDefault="00000000">
      <w:pPr>
        <w:pStyle w:val="BodyText"/>
        <w:rPr>
          <w:lang w:val="en-US"/>
        </w:rPr>
      </w:pPr>
      <w:r>
        <w:rPr>
          <w:lang w:val="en-US"/>
        </w:rPr>
        <w:t xml:space="preserve">Meta Society is a smart governance platform built around this premise. A user uploads or selects town data, reviews interactive dashboards summarizing the town’s current state, </w:t>
      </w:r>
      <w:r>
        <w:rPr>
          <w:lang w:val="en-US"/>
        </w:rPr>
        <w:t>states a policy goal in natural language (for example, “reduce unemployment without increasing inflation”), and receives AI-generated policy recommendations with expected benefits and risks. Selected policies can then be run through a Simulation Lab, which is intended to model how the town’s population would respond and to report projected economic and social outcomes, including risk alerts and scenario comparisons. This paper documents the current state of that system, the reasoning behind a key architectural pivot in how agent reactions are modeled, and the design of the two techniques—Bayesian Networks and Evolutionary Algorithms—that are being integrated to replace an earlier, less suitable approach.</w:t>
      </w:r>
    </w:p>
    <w:p w14:paraId="0BEF8078" w14:textId="77777777" w:rsidR="00A72601" w:rsidRDefault="00000000">
      <w:pPr>
        <w:pStyle w:val="BodyText"/>
        <w:rPr>
          <w:lang w:val="en-US"/>
        </w:rPr>
      </w:pPr>
      <w:r>
        <w:rPr>
          <w:lang w:val="en-US"/>
        </w:rPr>
        <w:t>The remainder of this paper is organized as follows. Section II reviews related work in AI-assisted policy simulation, probabilistic graphical models, and evolutionary computation. Section III describes the current system architecture. Section IV details the AI Policy Advisor, which is fully implemented. Section V explains why an initial Random Forest-based agent model was abandoned. Section VI presents the proposed Bayesian Network design. Section VII presents the proposed Evolutionary Algorithm design and how it composes with the Bayesian Network. Section VIII addresses a data-quality gap identified during project evaluation and describes a synthetic agent-population generation method proposed to address it. Section IX discusses implementation status and limitations, and Section X concludes with planned future work.</w:t>
      </w:r>
    </w:p>
    <w:p w14:paraId="7E2033A3" w14:textId="77777777" w:rsidR="00A72601" w:rsidRDefault="00000000">
      <w:pPr>
        <w:pStyle w:val="Heading1"/>
      </w:pPr>
      <w:r>
        <w:t>Related Work</w:t>
      </w:r>
    </w:p>
    <w:p w14:paraId="3469EF53" w14:textId="77777777" w:rsidR="00A72601" w:rsidRDefault="00000000">
      <w:pPr>
        <w:pStyle w:val="Heading2"/>
      </w:pPr>
      <w:r>
        <w:t>AI-Assisted Policy and Governance Tools</w:t>
      </w:r>
    </w:p>
    <w:p w14:paraId="5F0F0769" w14:textId="77777777" w:rsidR="00A72601" w:rsidRDefault="00000000">
      <w:pPr>
        <w:pStyle w:val="BodyText"/>
        <w:rPr>
          <w:lang w:val="en-US"/>
        </w:rPr>
      </w:pPr>
      <w:r>
        <w:rPr>
          <w:lang w:val="en-US"/>
        </w:rPr>
        <w:t>Recent interest in applying large language models to public-sector decision support has grown alongside broader LLM adoption, with tools that summarize legislation, draft policy briefs, or answer citizen queries. Meta Society differs from summarization-oriented tools in that it couples policy generation with an explicit outcome-simulation layer, so a suggested policy is paired with a forecast of its effects rather than presented as text alone.</w:t>
      </w:r>
    </w:p>
    <w:p w14:paraId="5E9C3331" w14:textId="77777777" w:rsidR="00A72601" w:rsidRDefault="00000000">
      <w:pPr>
        <w:pStyle w:val="Heading2"/>
      </w:pPr>
      <w:r>
        <w:t>Agent-Based Modeling</w:t>
      </w:r>
    </w:p>
    <w:p w14:paraId="2964B5CB" w14:textId="77777777" w:rsidR="00A72601" w:rsidRDefault="00000000">
      <w:pPr>
        <w:pStyle w:val="BodyText"/>
        <w:rPr>
          <w:lang w:val="en-US"/>
        </w:rPr>
      </w:pPr>
      <w:r>
        <w:rPr>
          <w:lang w:val="en-US"/>
        </w:rPr>
        <w:t xml:space="preserve">Agent-based modeling (ABM) represents a system as a population of autonomous agents with individual attributes and simple behavioral rules, whose interactions produce emergent, population-level outcomes [1]. ABM has been used extensively in epidemiology, traffic simulation, and social science to model heterogeneous populations more realistically than aggregate models. This body of work motivates our shift away from a small number of “representative” agents toward </w:t>
      </w:r>
      <w:r>
        <w:rPr>
          <w:lang w:val="en-US"/>
        </w:rPr>
        <w:lastRenderedPageBreak/>
        <w:t>a larger, individually varied synthetic population, discussed in Section VIII.</w:t>
      </w:r>
    </w:p>
    <w:p w14:paraId="179F022B" w14:textId="77777777" w:rsidR="00A72601" w:rsidRDefault="00000000">
      <w:pPr>
        <w:pStyle w:val="Heading2"/>
      </w:pPr>
      <w:r>
        <w:t>Random Forests</w:t>
      </w:r>
    </w:p>
    <w:p w14:paraId="4A22E1CB" w14:textId="77777777" w:rsidR="00A72601" w:rsidRDefault="00000000">
      <w:pPr>
        <w:pStyle w:val="BodyText"/>
        <w:rPr>
          <w:lang w:val="en-US"/>
        </w:rPr>
      </w:pPr>
      <w:r>
        <w:rPr>
          <w:lang w:val="en-US"/>
        </w:rPr>
        <w:t>Random Forests, introduced by Breiman [2], construct an ensemble of decision trees trained on labeled examples and aggregate their predictions by voting or averaging. Random Forests are effective for supervised classification and regression tasks with sufficient labeled data, but they do not natively represent causal or probabilistic dependency structure between variables, and their predictions are difficult to explain to a non-technical stakeholder—a significant limitation in a policymaking context, discussed further in Section V.</w:t>
      </w:r>
    </w:p>
    <w:p w14:paraId="373D0F19" w14:textId="77777777" w:rsidR="00A72601" w:rsidRDefault="00000000">
      <w:pPr>
        <w:pStyle w:val="Heading2"/>
      </w:pPr>
      <w:r>
        <w:t>Bayesian Networks</w:t>
      </w:r>
    </w:p>
    <w:p w14:paraId="3C791091" w14:textId="77777777" w:rsidR="00A72601" w:rsidRDefault="00000000">
      <w:pPr>
        <w:pStyle w:val="BodyText"/>
        <w:rPr>
          <w:lang w:val="en-US"/>
        </w:rPr>
      </w:pPr>
      <w:r>
        <w:rPr>
          <w:lang w:val="en-US"/>
        </w:rPr>
        <w:t>Bayesian Networks, formalized by Pearl [3], represent a set of random variables and their conditional dependencies as a directed acyclic graph, with each node holding a conditional probability distribution given its parent nodes. Bayesian Networks support probabilistic inference—computing the distribution over unobserved variables given evidence—and are widely valued for their interpretability, since the graph structure itself explains which factors influence which outcomes. Koller and Friedman [4] provide a comprehensive treatment of probabilistic graphical models, including structure learning and inference algorithms relevant to this work.</w:t>
      </w:r>
    </w:p>
    <w:p w14:paraId="0B7D6664" w14:textId="77777777" w:rsidR="00A72601" w:rsidRDefault="00000000">
      <w:pPr>
        <w:pStyle w:val="Heading2"/>
      </w:pPr>
      <w:r>
        <w:t>Evolutionary Computation and Differential Evolution</w:t>
      </w:r>
    </w:p>
    <w:p w14:paraId="64CDCA64" w14:textId="77777777" w:rsidR="00A72601" w:rsidRDefault="00000000">
      <w:pPr>
        <w:pStyle w:val="BodyText"/>
        <w:rPr>
          <w:lang w:val="en-US"/>
        </w:rPr>
      </w:pPr>
      <w:r>
        <w:rPr>
          <w:lang w:val="en-US"/>
        </w:rPr>
        <w:t>Evolutionary algorithms optimize a candidate solution population through iterative selection, recombination, and mutation, guided by a fitness function, without requiring gradient information about the search space. Differential Evolution (DE), introduced by Storn and Price [5], is a population-based evolutionary algorithm particularly effective on continuous, nonlinear, and non-stationary optimization problems. Das and Suganthan [6] provide a comprehensive survey of DE variants and their applications, forming the primary technical reference for the evolutionary component proposed in this work.</w:t>
      </w:r>
    </w:p>
    <w:p w14:paraId="45DA43C8" w14:textId="77777777" w:rsidR="00A72601" w:rsidRDefault="00000000">
      <w:pPr>
        <w:pStyle w:val="Heading1"/>
      </w:pPr>
      <w:r>
        <w:t>System Architecture</w:t>
      </w:r>
    </w:p>
    <w:p w14:paraId="6167273F" w14:textId="77777777" w:rsidR="00A72601" w:rsidRDefault="00000000">
      <w:pPr>
        <w:pStyle w:val="BodyText"/>
        <w:rPr>
          <w:lang w:val="en-US"/>
        </w:rPr>
        <w:sectPr w:rsidR="00A72601">
          <w:type w:val="continuous"/>
          <w:pgSz w:w="595.30pt" w:h="841.90pt" w:code="9"/>
          <w:pgMar w:top="54pt" w:right="45.35pt" w:bottom="72pt" w:left="45.35pt" w:header="36pt" w:footer="36pt" w:gutter="0pt"/>
          <w:cols w:num="2" w:space="18pt"/>
          <w:docGrid w:linePitch="360"/>
        </w:sectPr>
      </w:pPr>
      <w:r>
        <w:rPr>
          <w:lang w:val="en-US"/>
        </w:rPr>
        <w:t>Meta Society consists of a React/TypeScript frontend, a Supabase backend providing authentication, a Postgres database with row-level security, and serverless Edge Functions [7], and a Python reference implementation of the AI reasoning pipeline. Fig. 1 illustrates the current and proposed data flow. The top row shows the completed AI Policy Advisor path: the frontend sends a policy goal to a Supabase Edge Function, which prompts a hosted LLM and returns structured policy suggestions. The middle and lower rows show the proposed agent-simulation path: town-level CSV data is used to generate a synthetic agent population, which feeds a Bayesian Network for outcome inference and an Evolutionary Algorithm for policy parameter optimization, with results surfaced in the Simulation Lab and persisted to the database.</w:t>
      </w:r>
    </w:p>
    <w:p w14:paraId="4D5982B0" w14:textId="77777777" w:rsidR="00A72601" w:rsidRDefault="00000000">
      <w:pPr>
        <w:keepNext/>
        <w:spacing w:before="4pt"/>
      </w:pPr>
      <w:r>
        <w:rPr>
          <w:noProof/>
        </w:rPr>
        <w:drawing>
          <wp:inline distT="0" distB="0" distL="0" distR="0" wp14:anchorId="2162BC3D" wp14:editId="63DC437B">
            <wp:extent cx="6217920" cy="3833003"/>
            <wp:effectExtent l="0" t="0" r="0" b="0"/>
            <wp:docPr id="20" name="Figure 1" descr="Meta Society system architecture diagram"/>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 name="image1.png"/>
                    <pic:cNvPicPr/>
                  </pic:nvPicPr>
                  <pic:blipFill>
                    <a:blip r:embed="rId14"/>
                    <a:stretch>
                      <a:fillRect/>
                    </a:stretch>
                  </pic:blipFill>
                  <pic:spPr>
                    <a:xfrm>
                      <a:off x="0" y="0"/>
                      <a:ext cx="6217920" cy="3833003"/>
                    </a:xfrm>
                    <a:prstGeom prst="rect">
                      <a:avLst/>
                    </a:prstGeom>
                  </pic:spPr>
                </pic:pic>
              </a:graphicData>
            </a:graphic>
          </wp:inline>
        </w:drawing>
      </w:r>
    </w:p>
    <w:p w14:paraId="7DF77BDE" w14:textId="77777777" w:rsidR="00A72601" w:rsidRDefault="00000000">
      <w:pPr>
        <w:pStyle w:val="figurecaption"/>
        <w:jc w:val="center"/>
        <w:sectPr w:rsidR="00A72601">
          <w:type w:val="continuous"/>
          <w:pgSz w:w="595.30pt" w:h="841.90pt" w:code="9"/>
          <w:pgMar w:top="54pt" w:right="45.35pt" w:bottom="72pt" w:left="45.35pt" w:header="36pt" w:footer="36pt" w:gutter="0pt"/>
          <w:cols w:space="36pt"/>
          <w:docGrid w:linePitch="360"/>
        </w:sectPr>
      </w:pPr>
      <w:r>
        <w:t>Meta Society system architecture: completed AI Policy Advisor path (top) and proposed agent-simulation path (middle/lower), converging on shared Supabase storage.</w:t>
      </w:r>
    </w:p>
    <w:p w14:paraId="1A57DD00" w14:textId="77777777" w:rsidR="00A72601" w:rsidRDefault="00000000">
      <w:pPr>
        <w:pStyle w:val="Heading2"/>
      </w:pPr>
      <w:r>
        <w:t>Technology Stack</w:t>
      </w:r>
    </w:p>
    <w:p w14:paraId="37C60B76" w14:textId="77777777" w:rsidR="00A72601" w:rsidRDefault="00000000">
      <w:pPr>
        <w:pStyle w:val="BodyText"/>
        <w:rPr>
          <w:lang w:val="en-US"/>
        </w:rPr>
      </w:pPr>
      <w:r>
        <w:rPr>
          <w:lang w:val="en-US"/>
        </w:rPr>
        <w:t>Table I summarizes the technology stack used at each layer of the system.</w:t>
      </w:r>
    </w:p>
    <w:p w14:paraId="413496E9" w14:textId="77777777" w:rsidR="005E3574" w:rsidRDefault="005E3574">
      <w:pPr>
        <w:pStyle w:val="tablehead"/>
        <w:keepNext/>
      </w:pPr>
    </w:p>
    <w:p w14:paraId="43B28C21" w14:textId="72AF1897" w:rsidR="00A72601" w:rsidRDefault="005E3574" w:rsidP="005E3574">
      <w:pPr>
        <w:pStyle w:val="tablehead"/>
        <w:keepNext/>
        <w:numPr>
          <w:ilvl w:val="0"/>
          <w:numId w:val="0"/>
        </w:numPr>
        <w:jc w:val="both"/>
      </w:pPr>
      <w:r>
        <w:t xml:space="preserve">              </w:t>
      </w:r>
      <w:r w:rsidR="00000000">
        <w:t>Technology Stack of the Meta Society Platform</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760"/>
        <w:gridCol w:w="3100"/>
      </w:tblGrid>
      <w:tr w:rsidR="00A72601" w14:paraId="3B74C619" w14:textId="77777777">
        <w:trPr>
          <w:cantSplit/>
          <w:tblHeader/>
          <w:jc w:val="center"/>
        </w:trPr>
        <w:tc>
          <w:tcPr>
            <w:tcW w:w="88pt" w:type="dxa"/>
            <w:vAlign w:val="center"/>
          </w:tcPr>
          <w:p w14:paraId="33B694CC" w14:textId="77777777" w:rsidR="00A72601" w:rsidRDefault="00000000">
            <w:pPr>
              <w:pStyle w:val="tablecolhead"/>
            </w:pPr>
            <w:r>
              <w:t>Layer</w:t>
            </w:r>
          </w:p>
        </w:tc>
        <w:tc>
          <w:tcPr>
            <w:tcW w:w="155pt" w:type="dxa"/>
            <w:vAlign w:val="center"/>
          </w:tcPr>
          <w:p w14:paraId="7E772288" w14:textId="77777777" w:rsidR="00A72601" w:rsidRDefault="00000000">
            <w:pPr>
              <w:pStyle w:val="tablecolhead"/>
            </w:pPr>
            <w:r>
              <w:t>Technology</w:t>
            </w:r>
          </w:p>
        </w:tc>
      </w:tr>
      <w:tr w:rsidR="00A72601" w14:paraId="5F9D0BEC" w14:textId="77777777">
        <w:trPr>
          <w:cantSplit/>
          <w:jc w:val="center"/>
        </w:trPr>
        <w:tc>
          <w:tcPr>
            <w:tcW w:w="88pt" w:type="dxa"/>
            <w:vAlign w:val="center"/>
          </w:tcPr>
          <w:p w14:paraId="09E08F51" w14:textId="77777777" w:rsidR="00A72601" w:rsidRDefault="00000000">
            <w:pPr>
              <w:pStyle w:val="tablecopy"/>
              <w:jc w:val="start"/>
            </w:pPr>
            <w:r>
              <w:t>Frontend</w:t>
            </w:r>
          </w:p>
        </w:tc>
        <w:tc>
          <w:tcPr>
            <w:tcW w:w="155pt" w:type="dxa"/>
            <w:vAlign w:val="center"/>
          </w:tcPr>
          <w:p w14:paraId="06E6CEED" w14:textId="77777777" w:rsidR="00A72601" w:rsidRDefault="00000000">
            <w:pPr>
              <w:pStyle w:val="tablecopy"/>
              <w:jc w:val="start"/>
            </w:pPr>
            <w:r>
              <w:t>React 18, TypeScript, Vite, shadcn/ui, Tailwind CSS, Recharts</w:t>
            </w:r>
          </w:p>
        </w:tc>
      </w:tr>
      <w:tr w:rsidR="00A72601" w14:paraId="32737303" w14:textId="77777777">
        <w:trPr>
          <w:cantSplit/>
          <w:jc w:val="center"/>
        </w:trPr>
        <w:tc>
          <w:tcPr>
            <w:tcW w:w="88pt" w:type="dxa"/>
            <w:vAlign w:val="center"/>
          </w:tcPr>
          <w:p w14:paraId="26DF54EC" w14:textId="77777777" w:rsidR="00A72601" w:rsidRDefault="00000000">
            <w:pPr>
              <w:pStyle w:val="tablecopy"/>
              <w:jc w:val="start"/>
            </w:pPr>
            <w:r>
              <w:t>Backend-as-a-service</w:t>
            </w:r>
          </w:p>
        </w:tc>
        <w:tc>
          <w:tcPr>
            <w:tcW w:w="155pt" w:type="dxa"/>
            <w:vAlign w:val="center"/>
          </w:tcPr>
          <w:p w14:paraId="60C9A2B2" w14:textId="77777777" w:rsidR="00A72601" w:rsidRDefault="00000000">
            <w:pPr>
              <w:pStyle w:val="tablecopy"/>
              <w:jc w:val="start"/>
            </w:pPr>
            <w:r>
              <w:t>Supabase (Postgres, Auth, Row Level Security, Edge Functions)</w:t>
            </w:r>
          </w:p>
        </w:tc>
      </w:tr>
      <w:tr w:rsidR="00A72601" w14:paraId="3AC74834" w14:textId="77777777">
        <w:trPr>
          <w:cantSplit/>
          <w:jc w:val="center"/>
        </w:trPr>
        <w:tc>
          <w:tcPr>
            <w:tcW w:w="88pt" w:type="dxa"/>
            <w:vAlign w:val="center"/>
          </w:tcPr>
          <w:p w14:paraId="12100698" w14:textId="77777777" w:rsidR="00A72601" w:rsidRDefault="00000000">
            <w:pPr>
              <w:pStyle w:val="tablecopy"/>
              <w:jc w:val="start"/>
            </w:pPr>
            <w:r>
              <w:t>AI reasoning (production)</w:t>
            </w:r>
          </w:p>
        </w:tc>
        <w:tc>
          <w:tcPr>
            <w:tcW w:w="155pt" w:type="dxa"/>
            <w:vAlign w:val="center"/>
          </w:tcPr>
          <w:p w14:paraId="0BD9BA28" w14:textId="77777777" w:rsidR="00A72601" w:rsidRDefault="00000000">
            <w:pPr>
              <w:pStyle w:val="tablecopy"/>
              <w:jc w:val="start"/>
            </w:pPr>
            <w:r>
              <w:t>Deno/TypeScript Edge Function calling Groq API (LLaMA 3.1)</w:t>
            </w:r>
          </w:p>
        </w:tc>
      </w:tr>
      <w:tr w:rsidR="00A72601" w14:paraId="078AAAFF" w14:textId="77777777">
        <w:trPr>
          <w:cantSplit/>
          <w:jc w:val="center"/>
        </w:trPr>
        <w:tc>
          <w:tcPr>
            <w:tcW w:w="88pt" w:type="dxa"/>
            <w:vAlign w:val="center"/>
          </w:tcPr>
          <w:p w14:paraId="0A29CB29" w14:textId="77777777" w:rsidR="00A72601" w:rsidRDefault="00000000">
            <w:pPr>
              <w:pStyle w:val="tablecopy"/>
              <w:jc w:val="start"/>
            </w:pPr>
            <w:r>
              <w:t>AI reasoning (reference impl.)</w:t>
            </w:r>
          </w:p>
        </w:tc>
        <w:tc>
          <w:tcPr>
            <w:tcW w:w="155pt" w:type="dxa"/>
            <w:vAlign w:val="center"/>
          </w:tcPr>
          <w:p w14:paraId="00639653" w14:textId="77777777" w:rsidR="00A72601" w:rsidRDefault="00000000">
            <w:pPr>
              <w:pStyle w:val="tablecopy"/>
              <w:jc w:val="start"/>
            </w:pPr>
            <w:r>
              <w:t>Python, FastAPI, LangGraph, Pandas</w:t>
            </w:r>
          </w:p>
        </w:tc>
      </w:tr>
      <w:tr w:rsidR="00A72601" w14:paraId="2C45E066" w14:textId="77777777">
        <w:trPr>
          <w:cantSplit/>
          <w:jc w:val="center"/>
        </w:trPr>
        <w:tc>
          <w:tcPr>
            <w:tcW w:w="88pt" w:type="dxa"/>
            <w:vAlign w:val="center"/>
          </w:tcPr>
          <w:p w14:paraId="6DCEBEFE" w14:textId="77777777" w:rsidR="00A72601" w:rsidRDefault="00000000">
            <w:pPr>
              <w:pStyle w:val="tablecopy"/>
              <w:jc w:val="start"/>
            </w:pPr>
            <w:r>
              <w:t>Proposed: agent modeling</w:t>
            </w:r>
          </w:p>
        </w:tc>
        <w:tc>
          <w:tcPr>
            <w:tcW w:w="155pt" w:type="dxa"/>
            <w:vAlign w:val="center"/>
          </w:tcPr>
          <w:p w14:paraId="2F8213FF" w14:textId="77777777" w:rsidR="00A72601" w:rsidRDefault="00000000">
            <w:pPr>
              <w:pStyle w:val="tablecopy"/>
              <w:jc w:val="start"/>
            </w:pPr>
            <w:r>
              <w:t>Bayesian Network (Python, pgmpy)</w:t>
            </w:r>
          </w:p>
        </w:tc>
      </w:tr>
      <w:tr w:rsidR="00A72601" w14:paraId="169FE289" w14:textId="77777777">
        <w:trPr>
          <w:cantSplit/>
          <w:jc w:val="center"/>
        </w:trPr>
        <w:tc>
          <w:tcPr>
            <w:tcW w:w="88pt" w:type="dxa"/>
            <w:vAlign w:val="center"/>
          </w:tcPr>
          <w:p w14:paraId="0FBE7CD4" w14:textId="77777777" w:rsidR="00A72601" w:rsidRDefault="00000000">
            <w:pPr>
              <w:pStyle w:val="tablecopy"/>
              <w:jc w:val="start"/>
            </w:pPr>
            <w:r>
              <w:t>Proposed: policy optimization</w:t>
            </w:r>
          </w:p>
        </w:tc>
        <w:tc>
          <w:tcPr>
            <w:tcW w:w="155pt" w:type="dxa"/>
            <w:vAlign w:val="center"/>
          </w:tcPr>
          <w:p w14:paraId="19C78757" w14:textId="77777777" w:rsidR="00A72601" w:rsidRDefault="00000000">
            <w:pPr>
              <w:pStyle w:val="tablecopy"/>
              <w:jc w:val="start"/>
            </w:pPr>
            <w:r>
              <w:t>Differential Evolution (Python, SciPy / custom)</w:t>
            </w:r>
          </w:p>
        </w:tc>
      </w:tr>
    </w:tbl>
    <w:p w14:paraId="0EC251A7" w14:textId="77777777" w:rsidR="00A72601" w:rsidRDefault="00A72601"/>
    <w:p w14:paraId="4FC329C4" w14:textId="77777777" w:rsidR="00A72601" w:rsidRDefault="00000000">
      <w:pPr>
        <w:pStyle w:val="Heading1"/>
      </w:pPr>
      <w:r>
        <w:t>The AI Policy Advisor (Implemented)</w:t>
      </w:r>
    </w:p>
    <w:p w14:paraId="0D262397" w14:textId="77777777" w:rsidR="00A72601" w:rsidRDefault="00000000">
      <w:pPr>
        <w:pStyle w:val="BodyText"/>
        <w:rPr>
          <w:lang w:val="en-US"/>
        </w:rPr>
      </w:pPr>
      <w:r>
        <w:rPr>
          <w:lang w:val="en-US"/>
        </w:rPr>
        <w:t>The AI Policy Advisor is the fully implemented component of Meta Society and is the primary contribution documented in depth in this paper. It accepts a natural-language policy goal and optional constraints, and returns a small set of structured policy suggestions, each with a name, description, expected benefits, expected risks, and the population segment affected.</w:t>
      </w:r>
    </w:p>
    <w:p w14:paraId="0B30141A" w14:textId="77777777" w:rsidR="00A72601" w:rsidRDefault="00000000">
      <w:pPr>
        <w:pStyle w:val="Heading2"/>
      </w:pPr>
      <w:r>
        <w:t>Two-Stage Reasoning Pipeline</w:t>
      </w:r>
    </w:p>
    <w:p w14:paraId="4E7FDE6B" w14:textId="77777777" w:rsidR="00A72601" w:rsidRDefault="00000000">
      <w:pPr>
        <w:pStyle w:val="BodyText"/>
        <w:rPr>
          <w:lang w:val="en-US"/>
        </w:rPr>
      </w:pPr>
      <w:r>
        <w:rPr>
          <w:lang w:val="en-US"/>
        </w:rPr>
        <w:t>Rather than a single monolithic prompt, policy generation is modeled as a graph of reasoning stages using LangGraph [8], giving a modular and inspectable pipeline. The pipeline consists of three conceptual stages: (i) dashboard extraction, in which town CSV data is summarized into statistical highlights and anomalies using Pandas; (ii) insight generation, in which an LLM is prompted with the extracted statistics and the user’s goal to produce a small number of natural-language insights about the town’s current state; and (iii) policy generation, in which the LLM is prompted with those insights and the original goal to produce a structured JSON array of candidate policies. This staged design keeps each LLM call focused on a narrower task than a single end-to-end prompt would require, and makes the intermediate insights available to the user as explanatory context alongside the final recommendations.</w:t>
      </w:r>
    </w:p>
    <w:p w14:paraId="1A8498D3" w14:textId="77777777" w:rsidR="00A72601" w:rsidRDefault="00000000">
      <w:pPr>
        <w:pStyle w:val="Heading2"/>
      </w:pPr>
      <w:r>
        <w:t>Production Deployment via Supabase Edge Functions</w:t>
      </w:r>
    </w:p>
    <w:p w14:paraId="6BE783FB" w14:textId="77777777" w:rsidR="00A72601" w:rsidRDefault="00000000">
      <w:pPr>
        <w:pStyle w:val="BodyText"/>
        <w:rPr>
          <w:lang w:val="en-US"/>
        </w:rPr>
      </w:pPr>
      <w:r>
        <w:rPr>
          <w:lang w:val="en-US"/>
        </w:rPr>
        <w:t>The reference pipeline above is implemented in Python. Because Supabase Edge Functions execute in a Deno/TypeScript runtime and cannot run Python or Pandas, the production integration required porting the insight-generation and policy-generation stages to TypeScript, calling the Groq API directly with the same model and prompt structure as the Python reference implementation. The dashboard-extraction stage, which depends on Pandas, was pre-computed once against the town CSVs and embedded as a static snapshot consumed by the Edge Function; this is a known limitation requiring the snapshot to be regenerated when new town data is uploaded, noted as an implementation constraint rather than a design flaw. The frontend communicates with this Edge Function through Supabase’s function-invocation client, and the LLM API key is stored as a Supabase secret rather than a frontend environment variable, since any Vite-prefixed environment variable is bundled into client-side code and would expose the credential to end users.</w:t>
      </w:r>
    </w:p>
    <w:p w14:paraId="2BBF3044" w14:textId="77777777" w:rsidR="00A72601" w:rsidRDefault="00000000">
      <w:pPr>
        <w:pStyle w:val="Heading2"/>
      </w:pPr>
      <w:r>
        <w:t>Data Persistence</w:t>
      </w:r>
    </w:p>
    <w:p w14:paraId="60AB72BF" w14:textId="77777777" w:rsidR="00A72601" w:rsidRDefault="00000000">
      <w:pPr>
        <w:pStyle w:val="BodyText"/>
        <w:rPr>
          <w:lang w:val="en-US"/>
        </w:rPr>
      </w:pPr>
      <w:r>
        <w:rPr>
          <w:lang w:val="en-US"/>
        </w:rPr>
        <w:t>Generated policies and their associated simulation runs are persisted in a Postgres schema comprising three tables: profiles (user role and organization), simulations (policy parameters and results as JSON, with an effectiveness score), and saved_reports (saved insights and simulation summaries). All three tables enforce row-level security scoped to the authenticated user, ensuring that policymakers only access their own saved work.</w:t>
      </w:r>
    </w:p>
    <w:p w14:paraId="2C5E059F" w14:textId="77777777" w:rsidR="00A72601" w:rsidRDefault="00000000">
      <w:pPr>
        <w:pStyle w:val="Heading1"/>
      </w:pPr>
      <w:r>
        <w:t>Rationale for Moving Away from Random Forest</w:t>
      </w:r>
    </w:p>
    <w:p w14:paraId="2E0A5E62" w14:textId="77777777" w:rsidR="00A72601" w:rsidRDefault="00000000">
      <w:pPr>
        <w:pStyle w:val="BodyText"/>
        <w:rPr>
          <w:lang w:val="en-US"/>
        </w:rPr>
      </w:pPr>
      <w:r>
        <w:rPr>
          <w:lang w:val="en-US"/>
        </w:rPr>
        <w:t>An earlier implementation, developed independently by a project collaborator, modeled agent reactions to a policy using a Random Forest classifier trained on town data clustered into ten groups, with a single representative agent standing in for each cluster. Three concrete limitations led the team to abandon this approach in favor of the Bayesian Network and Evolutionary Algorithm design described in Sections VI and VII.</w:t>
      </w:r>
    </w:p>
    <w:p w14:paraId="5ED3A33A" w14:textId="77777777" w:rsidR="00A72601" w:rsidRDefault="00000000">
      <w:pPr>
        <w:pStyle w:val="bulletlist"/>
        <w:rPr>
          <w:lang w:val="en-US"/>
        </w:rPr>
      </w:pPr>
      <w:r>
        <w:rPr>
          <w:lang w:val="en-US"/>
        </w:rPr>
        <w:t>Insufficient labeled training data: Random Forest requires labeled examples of the form (policy applied, outcome observed) to train a supervised model. The project’s available data consists of town-level demographic and economic indicators, not a historical record of policy interventions and their measured effects, leaving too few labeled examples to train a reliable classifier.</w:t>
      </w:r>
    </w:p>
    <w:p w14:paraId="7829C8CD" w14:textId="77777777" w:rsidR="00A72601" w:rsidRDefault="00000000">
      <w:pPr>
        <w:pStyle w:val="bulletlist"/>
        <w:rPr>
          <w:lang w:val="en-US"/>
        </w:rPr>
      </w:pPr>
      <w:r>
        <w:rPr>
          <w:lang w:val="en-US"/>
        </w:rPr>
        <w:t>Lack of explainability: a Random Forest’s prediction is the aggregate vote of many decision trees and does not, by itself, indicate which input factors were most responsible for a given prediction. In a governance tool intended to build policymaker trust, an opaque prediction is a significant limitation compared to a model that can trace a predicted outcome back through explicit causal factors.</w:t>
      </w:r>
    </w:p>
    <w:p w14:paraId="76094D6A" w14:textId="77777777" w:rsidR="00A72601" w:rsidRDefault="00000000">
      <w:pPr>
        <w:pStyle w:val="bulletlist"/>
        <w:rPr>
          <w:lang w:val="en-US"/>
        </w:rPr>
      </w:pPr>
      <w:r>
        <w:rPr>
          <w:lang w:val="en-US"/>
        </w:rPr>
        <w:t>Inability to represent chained causality: real policy effects propagate through a chain of intermediate variables—for example, a subsidy changes household income, which changes spending behavior, which changes local demand, which changes inflation, which changes public sentiment. A Random Forest treats each prediction as an independent function of its inputs and does not naturally represent this kind of sequential, compounding causal structure.</w:t>
      </w:r>
    </w:p>
    <w:p w14:paraId="5DEBDFE8" w14:textId="77777777" w:rsidR="00A72601" w:rsidRDefault="00000000">
      <w:pPr>
        <w:pStyle w:val="BodyText"/>
        <w:rPr>
          <w:lang w:val="en-US"/>
        </w:rPr>
      </w:pPr>
      <w:r>
        <w:rPr>
          <w:lang w:val="en-US"/>
        </w:rPr>
        <w:t>A further, related limitation of the clustering step itself is that reducing thousands of towns to ten representative agents discards nearly all within-cluster variation, and more importantly, provides no mechanism for representing variation among different citizens within a single town—precisely the variation that determines how unevenly a given policy is felt across a real population.</w:t>
      </w:r>
    </w:p>
    <w:p w14:paraId="3CF99F9F" w14:textId="77777777" w:rsidR="00A72601" w:rsidRDefault="00000000">
      <w:pPr>
        <w:pStyle w:val="Heading1"/>
      </w:pPr>
      <w:r>
        <w:t>Proposed Bayesian Network for Agent Reaction Modeling</w:t>
      </w:r>
    </w:p>
    <w:p w14:paraId="4F6D7685" w14:textId="77777777" w:rsidR="00A72601" w:rsidRDefault="00000000">
      <w:pPr>
        <w:pStyle w:val="BodyText"/>
        <w:rPr>
          <w:lang w:val="en-US"/>
        </w:rPr>
      </w:pPr>
      <w:r>
        <w:rPr>
          <w:lang w:val="en-US"/>
        </w:rPr>
        <w:t>To address the explainability and causal-structure limitations identified in Section V, we propose modeling agent-level policy reactions with a Bayesian Network. This component is in the design and early-implementation stage at the time of writing and is presented here as part of the system’s ongoing development, not as a completed result.</w:t>
      </w:r>
    </w:p>
    <w:p w14:paraId="3568AB67" w14:textId="77777777" w:rsidR="00A72601" w:rsidRDefault="00000000">
      <w:pPr>
        <w:pStyle w:val="Heading2"/>
      </w:pPr>
      <w:r>
        <w:lastRenderedPageBreak/>
        <w:t>Formulation</w:t>
      </w:r>
    </w:p>
    <w:p w14:paraId="0B845527" w14:textId="77777777" w:rsidR="00A72601" w:rsidRDefault="00000000">
      <w:pPr>
        <w:pStyle w:val="BodyText"/>
        <w:rPr>
          <w:lang w:val="en-US"/>
        </w:rPr>
      </w:pPr>
      <w:r>
        <w:rPr>
          <w:lang w:val="en-US"/>
        </w:rPr>
        <w:t>A Bayesian Network represents a joint probability distribution over a set of variables as a directed acyclic graph, in which each node holds a conditional probability distribution given its parent nodes. Given evidence about some variables (for instance, that a specific policy has been applied), standard inference algorithms compute the posterior probability distribution over the remaining variables, yielding not a single predicted outcome but a distribution reflecting the model’s uncertainty.</w:t>
      </w:r>
    </w:p>
    <w:p w14:paraId="6EC37EA0" w14:textId="77777777" w:rsidR="00A72601" w:rsidRDefault="00000000">
      <w:pPr>
        <w:pStyle w:val="Heading2"/>
      </w:pPr>
      <w:r>
        <w:t>Proposed Network Structure</w:t>
      </w:r>
    </w:p>
    <w:p w14:paraId="5CDDA893" w14:textId="77777777" w:rsidR="00A72601" w:rsidRDefault="00000000">
      <w:pPr>
        <w:pStyle w:val="BodyText"/>
        <w:rPr>
          <w:lang w:val="en-US"/>
        </w:rPr>
      </w:pPr>
      <w:r>
        <w:rPr>
          <w:lang w:val="en-US"/>
        </w:rPr>
        <w:t>The proposed structure connects a policy node to a chain of agent-level and town-level variables: Policy (type, budget, duration) influences an agent’s income class, which influences employment status, which influences spending behavior; spending behavior influences sector demand and, in aggregate, inflation; income class, employment status, and inflation jointly influence public sentiment (happiness); and public sentiment influences protest or unrest risk, while sector demand and employment aggregate into town-level GDP growth. This structure is intended to make explicit the causal chain that a black-box classifier could not represent, and to allow the model to report, for a given prediction, which upstream node contributed most to the result.</w:t>
      </w:r>
    </w:p>
    <w:p w14:paraId="3E98F156" w14:textId="77777777" w:rsidR="00A72601" w:rsidRDefault="00000000">
      <w:pPr>
        <w:pStyle w:val="Heading2"/>
      </w:pPr>
      <w:r>
        <w:t>Parameter Estimation</w:t>
      </w:r>
    </w:p>
    <w:p w14:paraId="0C6F333B" w14:textId="77777777" w:rsidR="00A72601" w:rsidRDefault="00000000">
      <w:pPr>
        <w:pStyle w:val="BodyText"/>
        <w:rPr>
          <w:lang w:val="en-US"/>
        </w:rPr>
      </w:pPr>
      <w:r>
        <w:rPr>
          <w:lang w:val="en-US"/>
        </w:rPr>
        <w:t>Conditional probability tables for the network are planned to be estimated from the synthetic agent-level dataset described in Section VIII, supplemented where necessary with priors informed by domain literature on the relationship between income, employment, and subjective well-being. Inference is planned to be implemented using the pgmpy library in Python. Before being trusted for policy evaluation, the network is intended to be validated against known directional relationships—for example, confirming that increasing a subsidy amount increases the modeled probability of improved employment outcomes—as a sanity check prior to broader use.</w:t>
      </w:r>
    </w:p>
    <w:p w14:paraId="210D20BF" w14:textId="77777777" w:rsidR="00A72601" w:rsidRDefault="00000000">
      <w:pPr>
        <w:pStyle w:val="Heading1"/>
      </w:pPr>
      <w:r>
        <w:t>Proposed Evolutionary Algorithm for Policy Optimization</w:t>
      </w:r>
    </w:p>
    <w:p w14:paraId="0FAE0FB7" w14:textId="77777777" w:rsidR="00A72601" w:rsidRDefault="00000000">
      <w:pPr>
        <w:pStyle w:val="BodyText"/>
        <w:rPr>
          <w:lang w:val="en-US"/>
        </w:rPr>
      </w:pPr>
      <w:r>
        <w:rPr>
          <w:lang w:val="en-US"/>
        </w:rPr>
        <w:t>The AI Policy Advisor described in Section IV returns a small, fixed number of LLM-suggested policies. This section proposes a complementary Evolutionary Algorithm component intended to search a much larger space of possible policy configurations, using the Bayesian Network of Section VI as an evaluation function. Like the Bayesian Network, this component is proposed and under development rather than completed.</w:t>
      </w:r>
    </w:p>
    <w:p w14:paraId="239D882B" w14:textId="77777777" w:rsidR="00A72601" w:rsidRDefault="00000000">
      <w:pPr>
        <w:pStyle w:val="Heading2"/>
      </w:pPr>
      <w:r>
        <w:t>Formulation</w:t>
      </w:r>
    </w:p>
    <w:p w14:paraId="6D7DA54C" w14:textId="77777777" w:rsidR="00A72601" w:rsidRDefault="00000000">
      <w:pPr>
        <w:pStyle w:val="BodyText"/>
        <w:rPr>
          <w:lang w:val="en-US"/>
        </w:rPr>
      </w:pPr>
      <w:r>
        <w:rPr>
          <w:lang w:val="en-US"/>
        </w:rPr>
        <w:t>A candidate policy is encoded as a real-valued vector of parameters—for example, tax rate, subsidy amount, and budget allocation across housing and education, together with policy duration. A population of such candidate vectors is maintained and evolved over successive generations through selection, recombination (crossover), and mutation, guided by a fitness function that scores each candidate. We propose Differential Evolution (DE) as the specific evolutionary strategy, following Storn and Price [5] and the broader survey by Das and Suganthan [6], because DE is well suited to continuous, nonlinear parameter spaces of the kind present in this policy-encoding scheme.</w:t>
      </w:r>
    </w:p>
    <w:p w14:paraId="083B3FFC" w14:textId="77777777" w:rsidR="00A72601" w:rsidRDefault="00000000">
      <w:pPr>
        <w:pStyle w:val="Heading2"/>
      </w:pPr>
      <w:r>
        <w:t>Fitness Function</w:t>
      </w:r>
    </w:p>
    <w:p w14:paraId="64126543" w14:textId="77777777" w:rsidR="00A72601" w:rsidRDefault="00000000">
      <w:pPr>
        <w:pStyle w:val="BodyText"/>
        <w:rPr>
          <w:lang w:val="en-US"/>
        </w:rPr>
      </w:pPr>
      <w:r>
        <w:rPr>
          <w:lang w:val="en-US"/>
        </w:rPr>
        <w:t>The fitness of a candidate policy is proposed to be derived from the Bayesian Network’s predicted outcome distribution for that candidate, combining projected GDP growth, employment change, public sentiment, and inflation into a single scalar score, or alternatively treated as a multi-objective problem using an approach such as NSGA-II [9] when policy goals conflict—for instance, when reducing unemployment and containing inflation cannot both be maximized simultaneously. In the multi-objective formulation, the algorithm is intended to return a Pareto front of non-dominated policies rather than a single optimum, allowing a policymaker to select among explicit trade-offs.</w:t>
      </w:r>
    </w:p>
    <w:p w14:paraId="30C39674" w14:textId="77777777" w:rsidR="00A72601" w:rsidRDefault="00000000">
      <w:pPr>
        <w:pStyle w:val="Heading2"/>
      </w:pPr>
      <w:r>
        <w:t>Integration with the Existing Pipeline</w:t>
      </w:r>
    </w:p>
    <w:p w14:paraId="5A6FB52F" w14:textId="77777777" w:rsidR="00A72601" w:rsidRDefault="00000000">
      <w:pPr>
        <w:pStyle w:val="BodyText"/>
        <w:rPr>
          <w:lang w:val="en-US"/>
        </w:rPr>
      </w:pPr>
      <w:r>
        <w:rPr>
          <w:lang w:val="en-US"/>
        </w:rPr>
        <w:t>The proposed integration is as follows: the AI Policy Advisor (Section IV) proposes an initial policy as a starting point; the Evolutionary Algorithm generates and evaluates variations of that policy’s parameters using the Bayesian Network as its fitness function across successive generations; and the best-performing policies, together with their predicted outcome distributions, are surfaced in the Simulation Lab and persisted to the simulations table described in Section IV-C.</w:t>
      </w:r>
    </w:p>
    <w:p w14:paraId="0A86AC23" w14:textId="77777777" w:rsidR="00A72601" w:rsidRDefault="00000000">
      <w:pPr>
        <w:pStyle w:val="Heading1"/>
      </w:pPr>
      <w:r>
        <w:t>Data Quality and Synthetic Agent Population Generation</w:t>
      </w:r>
    </w:p>
    <w:p w14:paraId="6B8668F1" w14:textId="77777777" w:rsidR="00A72601" w:rsidRDefault="00000000">
      <w:pPr>
        <w:pStyle w:val="BodyText"/>
        <w:rPr>
          <w:lang w:val="en-US"/>
        </w:rPr>
      </w:pPr>
      <w:r>
        <w:rPr>
          <w:lang w:val="en-US"/>
        </w:rPr>
        <w:t>During project evaluation, reviewers raised two related concerns about the underlying data: that the available dataset (2,500 town-level records across six domains) was too small to credibly train and test agent-level models, and that a minimum of approximately 80,000 records would be expected for the project to be considered adequately grounded in data. Investigation of the dataset surfaced a more fundamental issue than record count: internal consistency checks showed that demographic sub-totals (age brackets and gender splits) summed to the reported total population in fewer than six percent of records, indicating that the dataset’s individual fields were generated independently rather than as a coherent synthetic town.</w:t>
      </w:r>
    </w:p>
    <w:p w14:paraId="1E74E887" w14:textId="77777777" w:rsidR="00A72601" w:rsidRDefault="00000000">
      <w:pPr>
        <w:pStyle w:val="BodyText"/>
        <w:rPr>
          <w:lang w:val="en-US"/>
        </w:rPr>
      </w:pPr>
      <w:r>
        <w:rPr>
          <w:lang w:val="en-US"/>
        </w:rPr>
        <w:t xml:space="preserve">We therefore propose addressing both concerns together rather than treating record count in isolation. Each town’s aggregate statistics (mean income, poverty rate, employment rate, age distribution, sector composition, and comparable education, healthcare, infrastructure, and governance indicators) are proposed to be used as parameters for sampling a population of synthetic individual agents per town, following established practice in agent-based social simulation. Concretely, agent income is proposed to be drawn from a lognormal distribution calibrated so that its mean matches the town’s reported average income and its lower tail matches the town’s reported poverty rate; employment status is proposed to be drawn from a Bernoulli distribution weighted by the town’s employment rate, conditioned on working-age population share; and analogous sampling procedures are proposed for sector of employment, education access, health insurance coverage, housing quality, and infrastructure access, each calibrated to its corresponding town-level statistic. Generating on the order of 30 synthetic agents per town across the existing 2,500 towns is intended to yield approximately 80,000 agent-level records that are, by construction, internally consistent with the town-level statistics they are derived from, directly addressing both the scale and the internal-consistency concerns raised in evaluation. Where feasible, distributional shapes are intended </w:t>
      </w:r>
      <w:r>
        <w:rPr>
          <w:lang w:val="en-US"/>
        </w:rPr>
        <w:lastRenderedPageBreak/>
        <w:t>to be cross-checked against publicly available census or household survey data to further ground the synthetic population in realistic variance rather than assumed distributions alone.</w:t>
      </w:r>
    </w:p>
    <w:p w14:paraId="06094A01" w14:textId="77777777" w:rsidR="00A72601" w:rsidRDefault="00000000">
      <w:pPr>
        <w:pStyle w:val="Heading1"/>
      </w:pPr>
      <w:r>
        <w:t>Implementation Status and Limitations</w:t>
      </w:r>
    </w:p>
    <w:p w14:paraId="2D68BC5D" w14:textId="77777777" w:rsidR="00A72601" w:rsidRDefault="00000000">
      <w:pPr>
        <w:pStyle w:val="BodyText"/>
        <w:rPr>
          <w:lang w:val="en-US"/>
        </w:rPr>
      </w:pPr>
      <w:r>
        <w:rPr>
          <w:lang w:val="en-US"/>
        </w:rPr>
        <w:t>At the time of writing, the AI Policy Advisor pipeline described in Section IV is fully implemented and deployed, including the production Edge Function integration, secret management, and database persistence. The Bayesian Network (Section VI), Evolutionary Algorithm (Section VII), and synthetic agent-population generator (Section VIII) are in the design and early-implementation stage and are documented here as proposed architecture and ongoing work rather than as completed, evaluated results. Reported outcome metrics in the current Simulation Lab interface remain illustrative pending completion of these components, and no claim of predictive accuracy is made for them in this paper. Known limitations of the completed component include a static, pre-computed dashboard snapshot in the production Edge Function that must be manually regenerated when new town data is introduced, since the target runtime cannot execute the Pandas-based extraction step directly.</w:t>
      </w:r>
    </w:p>
    <w:p w14:paraId="260F17E0" w14:textId="5AAB23D4" w:rsidR="00A72601" w:rsidRDefault="00000000">
      <w:pPr>
        <w:pStyle w:val="Heading1"/>
      </w:pPr>
      <w:r>
        <w:t xml:space="preserve">Conclusion </w:t>
      </w:r>
    </w:p>
    <w:p w14:paraId="2C13A8EB" w14:textId="77777777" w:rsidR="00A72601" w:rsidRDefault="00000000">
      <w:pPr>
        <w:pStyle w:val="BodyText"/>
        <w:rPr>
          <w:lang w:val="en-US"/>
        </w:rPr>
      </w:pPr>
      <w:r>
        <w:rPr>
          <w:lang w:val="en-US"/>
        </w:rPr>
        <w:t>This paper has presented Meta Society, a smart governance platform combining an LLM-based policy advisor with a proposed probabilistic and evolutionary simulation layer. The AI Policy Advisor component is complete and deployed, demonstrating a staged LLM reasoning pipeline ported from a Python reference implementation into a serverless production environment with appropriate credential handling. We have documented the concrete reasons a Random Forest-based agent model was found unsuitable for this problem, and proposed a Bayesian Network and Evolutionary Algorithm as a replacement designed specifically to address those limitations: explainability, probabilistic causal structure, and systematic search over policy parameters. We have further proposed a synthetic agent-population generation method to address a data-quality and data-scale gap identified during evaluation. Future work includes completing the Bayesian Network’s parameter estimation and validation, implementing and benchmarking the Differential Evolution optimizer against the completed network, generating and validating the synthetic agent dataset described in Section VIII, and conducting an end-to-end evaluation of the integrated pipeline against the original Random Forest baseline where feasible, to quantitatively assess the benefits argued for qualitatively in this paper.</w:t>
      </w:r>
    </w:p>
    <w:p w14:paraId="24A0E751" w14:textId="77777777" w:rsidR="00230DB3" w:rsidRDefault="00230DB3">
      <w:pPr>
        <w:pStyle w:val="Heading5"/>
      </w:pPr>
    </w:p>
    <w:p w14:paraId="0C3505ED" w14:textId="77777777" w:rsidR="00230DB3" w:rsidRDefault="00230DB3">
      <w:pPr>
        <w:pStyle w:val="Heading5"/>
      </w:pPr>
    </w:p>
    <w:p w14:paraId="09441039" w14:textId="4BD6D84E" w:rsidR="00A72601" w:rsidRDefault="00000000">
      <w:pPr>
        <w:pStyle w:val="Heading5"/>
      </w:pPr>
      <w:r>
        <w:t>References</w:t>
      </w:r>
    </w:p>
    <w:p w14:paraId="132F0DD0" w14:textId="77777777" w:rsidR="00A72601" w:rsidRDefault="00000000">
      <w:pPr>
        <w:pStyle w:val="references"/>
        <w:ind w:start="17.70pt" w:hanging="17.70pt"/>
      </w:pPr>
      <w:r>
        <w:t xml:space="preserve">E. Bonabeau, “Agent-based modeling: Methods and techniques for simulating human systems,” </w:t>
      </w:r>
      <w:r>
        <w:rPr>
          <w:i/>
          <w:iCs/>
        </w:rPr>
        <w:t>Proceedings of the National Academy of Sciences</w:t>
      </w:r>
      <w:r>
        <w:t>, vol. 99, suppl. 3, pp. 7280–7287, 2002.</w:t>
      </w:r>
    </w:p>
    <w:p w14:paraId="1B459E01" w14:textId="71D406A3" w:rsidR="00E82A32" w:rsidRPr="00E82A32" w:rsidRDefault="00E82A32" w:rsidP="00E82A32">
      <w:pPr>
        <w:pStyle w:val="references"/>
        <w:ind w:start="17.70pt" w:hanging="17.70pt"/>
        <w:rPr>
          <w:lang w:val="en-IN"/>
        </w:rPr>
      </w:pPr>
      <w:r w:rsidRPr="00E82A32">
        <w:t>Y. Gao, Y. Xiong, X. Gao, K. Jia, J. Pan, Y. Bi, Y. Dai, J. Sun, and H. Wang, [2023] –“A Survey on Retrieval-Augmented Generation for Large Language Models,” arXiv preprint, arXiv:2312.10997</w:t>
      </w:r>
    </w:p>
    <w:p w14:paraId="68A77F95" w14:textId="2BFA6495" w:rsidR="00E82A32" w:rsidRPr="00E82A32" w:rsidRDefault="00E82A32" w:rsidP="00E82A32">
      <w:pPr>
        <w:pStyle w:val="references"/>
        <w:numPr>
          <w:ilvl w:val="0"/>
          <w:numId w:val="0"/>
        </w:numPr>
        <w:ind w:start="17.70pt"/>
        <w:rPr>
          <w:lang w:val="en-IN"/>
        </w:rPr>
      </w:pPr>
      <w:hyperlink r:id="rId15" w:history="1">
        <w:r w:rsidRPr="00E82A32">
          <w:rPr>
            <w:rStyle w:val="Hyperlink"/>
          </w:rPr>
          <w:t>https://arxiv.org/abs/2312.10997 </w:t>
        </w:r>
      </w:hyperlink>
    </w:p>
    <w:p w14:paraId="5F134BD8" w14:textId="77777777" w:rsidR="00E82A32" w:rsidRPr="00E82A32" w:rsidRDefault="00E82A32" w:rsidP="00E82A32">
      <w:pPr>
        <w:pStyle w:val="references"/>
        <w:ind w:start="17.70pt" w:hanging="17.70pt"/>
        <w:rPr>
          <w:lang w:val="en-IN"/>
        </w:rPr>
      </w:pPr>
      <w:r w:rsidRPr="00E82A32">
        <w:t xml:space="preserve">P. Zhao, H. Zhang, et al., [2025] – “Retrieval-Augmented Generation for AI-Generated Content: A Survey,” Data Science and Engineering, Springer. [Online]. Available: </w:t>
      </w:r>
      <w:hyperlink r:id="rId16" w:history="1">
        <w:r w:rsidRPr="00E82A32">
          <w:rPr>
            <w:rStyle w:val="Hyperlink"/>
          </w:rPr>
          <w:t>https://doi.org/10.1007/s41019-025-00335-5</w:t>
        </w:r>
      </w:hyperlink>
    </w:p>
    <w:p w14:paraId="6123DE7D" w14:textId="77777777" w:rsidR="00E82A32" w:rsidRPr="00E82A32" w:rsidRDefault="00E82A32" w:rsidP="00E82A32">
      <w:pPr>
        <w:pStyle w:val="references"/>
        <w:ind w:start="17.70pt" w:hanging="17.70pt"/>
        <w:rPr>
          <w:lang w:val="en-IN"/>
        </w:rPr>
      </w:pPr>
      <w:r w:rsidRPr="00E82A32">
        <w:t>M. Janati and F. Messaoudi, [2025] – “Intrusion Detection System-Based Network Behavior Analysis: A Systematic Literature Review,” Journal of Computer Information Systems, Vol. 16, No. 3.</w:t>
      </w:r>
    </w:p>
    <w:p w14:paraId="26288B90" w14:textId="77777777" w:rsidR="00E82A32" w:rsidRDefault="00E82A32">
      <w:pPr>
        <w:pStyle w:val="references"/>
        <w:ind w:start="17.70pt" w:hanging="17.70pt"/>
      </w:pPr>
      <w:r w:rsidRPr="00E82A32">
        <w:t xml:space="preserve">A. Author et al., [2025] – “Agentic AI for Sustainable Development: Leveraging Large Language Model-Enhanced Agent-Based Modeling for Complex Policy Strategies,” Journal of Intelligent Systems and Applications, SAGE Publications. </w:t>
      </w:r>
    </w:p>
    <w:p w14:paraId="177D265D" w14:textId="37358D82" w:rsidR="00E82A32" w:rsidRDefault="00E82A32" w:rsidP="00E82A32">
      <w:pPr>
        <w:pStyle w:val="references"/>
        <w:numPr>
          <w:ilvl w:val="0"/>
          <w:numId w:val="0"/>
        </w:numPr>
        <w:ind w:start="17.70pt"/>
      </w:pPr>
      <w:hyperlink r:id="rId17" w:history="1">
        <w:r w:rsidRPr="00E82A32">
          <w:rPr>
            <w:rStyle w:val="Hyperlink"/>
          </w:rPr>
          <w:t>https://doi.org/10.1177/27523543251365678</w:t>
        </w:r>
      </w:hyperlink>
    </w:p>
    <w:p w14:paraId="3EDB5743" w14:textId="77777777" w:rsidR="00E82A32" w:rsidRPr="00E82A32" w:rsidRDefault="00E82A32" w:rsidP="00E82A32">
      <w:pPr>
        <w:pStyle w:val="references"/>
        <w:ind w:start="17.70pt" w:hanging="17.70pt"/>
        <w:rPr>
          <w:lang w:val="en-IN"/>
        </w:rPr>
      </w:pPr>
      <w:r w:rsidRPr="00E82A32">
        <w:t>Liu, J., Chu, C., Zhao, Y., Aoki, G., &amp; Xiao, Z. (2025). Agentic AI for sustainable development: Leveraging large language model-enhanced agent-based modeling for complex policy strategies. Emerging Media, 3(3), 401–413.</w:t>
      </w:r>
    </w:p>
    <w:p w14:paraId="7FAF8445" w14:textId="0ADF5A62" w:rsidR="00E82A32" w:rsidRPr="00E82A32" w:rsidRDefault="00E82A32" w:rsidP="00E82A32">
      <w:pPr>
        <w:pStyle w:val="references"/>
        <w:numPr>
          <w:ilvl w:val="0"/>
          <w:numId w:val="0"/>
        </w:numPr>
        <w:rPr>
          <w:lang w:val="en-IN"/>
        </w:rPr>
      </w:pPr>
      <w:r>
        <w:t xml:space="preserve">         </w:t>
      </w:r>
      <w:hyperlink r:id="rId18" w:history="1">
        <w:r w:rsidRPr="00E82A32">
          <w:rPr>
            <w:rStyle w:val="Hyperlink"/>
          </w:rPr>
          <w:t>https://doi.org/10.1177/27523543251365678</w:t>
        </w:r>
      </w:hyperlink>
    </w:p>
    <w:p w14:paraId="64F65114" w14:textId="77777777" w:rsidR="00230DB3" w:rsidRPr="00230DB3" w:rsidRDefault="00230DB3" w:rsidP="00230DB3">
      <w:pPr>
        <w:pStyle w:val="references"/>
        <w:ind w:start="17.70pt" w:hanging="17.70pt"/>
        <w:rPr>
          <w:lang w:val="en-IN"/>
        </w:rPr>
      </w:pPr>
      <w:r w:rsidRPr="00230DB3">
        <w:t>Hughes, L., Dwivedi, Y. K., Malik, T., Shawosh, M., Albashrawi, M. A., Jeon, I., Dutot, V., Appanderanda, M., Crick,T., De’, R., Fenwick, M., Gunaratnege, S. M., Jurcys, P., Kar, A. K., Kshetri, N., Li, K., Mutasa, S., Samothrakis, S., Wade, M., &amp; Walton, P. (2025). AI agents and agentic systems: A multi-expert analysis. Journal of Computer Information Systems, 65(4), 489-517.</w:t>
      </w:r>
    </w:p>
    <w:p w14:paraId="5D6CC4B7" w14:textId="35D5C514" w:rsidR="00230DB3" w:rsidRPr="00230DB3" w:rsidRDefault="00230DB3" w:rsidP="00230DB3">
      <w:pPr>
        <w:pStyle w:val="references"/>
        <w:numPr>
          <w:ilvl w:val="0"/>
          <w:numId w:val="0"/>
        </w:numPr>
        <w:ind w:start="17.70pt"/>
        <w:rPr>
          <w:lang w:val="en-IN"/>
        </w:rPr>
      </w:pPr>
      <w:r w:rsidRPr="00230DB3">
        <w:t xml:space="preserve"> </w:t>
      </w:r>
      <w:hyperlink r:id="rId19" w:history="1">
        <w:r w:rsidRPr="00230DB3">
          <w:rPr>
            <w:rStyle w:val="Hyperlink"/>
          </w:rPr>
          <w:t>https://doi.org/10.1080/08874417.2025.2483832</w:t>
        </w:r>
      </w:hyperlink>
    </w:p>
    <w:p w14:paraId="547650DC" w14:textId="73F69856" w:rsidR="00230DB3" w:rsidRPr="00230DB3" w:rsidRDefault="00230DB3" w:rsidP="00230DB3">
      <w:pPr>
        <w:pStyle w:val="references"/>
        <w:ind w:start="17.70pt" w:hanging="17.70pt"/>
        <w:rPr>
          <w:lang w:val="en-IN"/>
        </w:rPr>
      </w:pPr>
      <w:r w:rsidRPr="00230DB3">
        <w:t>Wu, J., Hu, B., Zhang, J., &amp; Fang, D. (2008). Multi-agent simulation of group behavior in E-Government policy</w:t>
      </w:r>
      <w:r>
        <w:rPr>
          <w:lang w:val="en-IN"/>
        </w:rPr>
        <w:t xml:space="preserve"> </w:t>
      </w:r>
      <w:r w:rsidRPr="00230DB3">
        <w:t xml:space="preserve">Decision. Simulation Modelling Practice and Theory, 16(10), 1571–1587. </w:t>
      </w:r>
      <w:hyperlink r:id="rId20" w:history="1">
        <w:r w:rsidRPr="00230DB3">
          <w:rPr>
            <w:rStyle w:val="Hyperlink"/>
          </w:rPr>
          <w:t>https://doi.org/10.1016/j.simpat.2007.07.007</w:t>
        </w:r>
      </w:hyperlink>
    </w:p>
    <w:p w14:paraId="63AFC08B" w14:textId="77777777" w:rsidR="00230DB3" w:rsidRPr="00230DB3" w:rsidRDefault="00230DB3" w:rsidP="00230DB3">
      <w:pPr>
        <w:pStyle w:val="references"/>
        <w:ind w:start="17.70pt" w:hanging="17.70pt"/>
        <w:rPr>
          <w:lang w:val="en-IN"/>
        </w:rPr>
      </w:pPr>
      <w:r w:rsidRPr="00230DB3">
        <w:t xml:space="preserve">Zhao, P., Zhang, H., Yu, Q., Wang, Z., Geng, Y., Fu, F., Yang, L., Zhang, W., Jiang, J., &amp; Cui, B. (2026). Retrieval-augmented generation for AI-generated content: A survey. Data Science and Engineering. </w:t>
      </w:r>
    </w:p>
    <w:p w14:paraId="687A8410" w14:textId="1ABB1813" w:rsidR="00230DB3" w:rsidRPr="00230DB3" w:rsidRDefault="00230DB3" w:rsidP="00230DB3">
      <w:pPr>
        <w:pStyle w:val="references"/>
        <w:numPr>
          <w:ilvl w:val="0"/>
          <w:numId w:val="0"/>
        </w:numPr>
        <w:ind w:start="17.70pt"/>
        <w:rPr>
          <w:lang w:val="en-IN"/>
        </w:rPr>
      </w:pPr>
      <w:hyperlink r:id="rId21" w:history="1">
        <w:r w:rsidRPr="00230DB3">
          <w:rPr>
            <w:rStyle w:val="Hyperlink"/>
          </w:rPr>
          <w:t>https://doi.org/10.1007/s41019-025-00335-5</w:t>
        </w:r>
      </w:hyperlink>
    </w:p>
    <w:p w14:paraId="2233A5E4" w14:textId="77777777" w:rsidR="00230DB3" w:rsidRPr="00230DB3" w:rsidRDefault="00230DB3" w:rsidP="00230DB3">
      <w:pPr>
        <w:pStyle w:val="references"/>
        <w:ind w:start="17.70pt" w:hanging="17.70pt"/>
        <w:rPr>
          <w:lang w:val="en-IN"/>
        </w:rPr>
      </w:pPr>
      <w:r w:rsidRPr="00230DB3">
        <w:t>Y. Gao, Y. Xiong, X. Gao, K. Jia, J. Pan, Y. Bi, Y. Dai, J. Sun, and H. Wang, “Retrieval-augmented generation for large</w:t>
      </w:r>
    </w:p>
    <w:p w14:paraId="5917E242" w14:textId="1EA13FBA" w:rsidR="00E82A32" w:rsidRPr="00230DB3" w:rsidRDefault="00230DB3" w:rsidP="00230DB3">
      <w:pPr>
        <w:pStyle w:val="references"/>
        <w:numPr>
          <w:ilvl w:val="0"/>
          <w:numId w:val="0"/>
        </w:numPr>
        <w:ind w:start="17.70pt"/>
        <w:rPr>
          <w:lang w:val="en-IN"/>
        </w:rPr>
      </w:pPr>
      <w:r w:rsidRPr="00230DB3">
        <w:t>language models: A survey,” arXiv preprint, arXiv:2312.10997, 2023</w:t>
      </w:r>
    </w:p>
    <w:p w14:paraId="0F319365" w14:textId="1C829842" w:rsidR="00A72601" w:rsidRDefault="00000000">
      <w:pPr>
        <w:pStyle w:val="references"/>
        <w:ind w:start="17.70pt" w:hanging="17.70pt"/>
      </w:pPr>
      <w:r>
        <w:t xml:space="preserve">L. Breiman, “Random forests,” </w:t>
      </w:r>
      <w:r>
        <w:rPr>
          <w:i/>
          <w:iCs/>
        </w:rPr>
        <w:t>Machine Learning</w:t>
      </w:r>
      <w:r>
        <w:t>, vol. 45, no. 1, pp. 5–32, 2001.</w:t>
      </w:r>
    </w:p>
    <w:p w14:paraId="7BF05152" w14:textId="77777777" w:rsidR="00A72601" w:rsidRDefault="00000000">
      <w:pPr>
        <w:pStyle w:val="references"/>
        <w:ind w:start="17.70pt" w:hanging="17.70pt"/>
      </w:pPr>
      <w:r>
        <w:t xml:space="preserve">J. Pearl, </w:t>
      </w:r>
      <w:r>
        <w:rPr>
          <w:i/>
          <w:iCs/>
        </w:rPr>
        <w:t>Probabilistic Reasoning in Intelligent Systems: Networks of Plausible Inference</w:t>
      </w:r>
      <w:r>
        <w:t>. San Francisco, CA: Morgan Kaufmann, 1988.</w:t>
      </w:r>
    </w:p>
    <w:p w14:paraId="4D6CA981" w14:textId="77777777" w:rsidR="00A72601" w:rsidRDefault="00000000">
      <w:pPr>
        <w:pStyle w:val="references"/>
        <w:ind w:start="17.70pt" w:hanging="17.70pt"/>
      </w:pPr>
      <w:r>
        <w:t xml:space="preserve">D. Koller and N. Friedman, </w:t>
      </w:r>
      <w:r>
        <w:rPr>
          <w:i/>
          <w:iCs/>
        </w:rPr>
        <w:t>Probabilistic Graphical Models: Principles and Techniques</w:t>
      </w:r>
      <w:r>
        <w:t>. Cambridge, MA: MIT Press, 2009.</w:t>
      </w:r>
    </w:p>
    <w:p w14:paraId="5CAF974C" w14:textId="77777777" w:rsidR="00A72601" w:rsidRDefault="00000000">
      <w:pPr>
        <w:pStyle w:val="references"/>
        <w:ind w:start="17.70pt" w:hanging="17.70pt"/>
      </w:pPr>
      <w:r>
        <w:t xml:space="preserve">R. Storn and K. Price, “Differential evolution – a simple and efficient heuristic for global optimization over continuous spaces,” </w:t>
      </w:r>
      <w:r>
        <w:rPr>
          <w:i/>
          <w:iCs/>
        </w:rPr>
        <w:t>Journal of Global Optimization</w:t>
      </w:r>
      <w:r>
        <w:t>, vol. 11, no. 4, pp. 341–359, 1997.</w:t>
      </w:r>
    </w:p>
    <w:p w14:paraId="1CAAC7DA" w14:textId="7EB8EDAF" w:rsidR="00A72601" w:rsidRDefault="00000000" w:rsidP="00230DB3">
      <w:pPr>
        <w:pStyle w:val="references"/>
        <w:ind w:start="17.70pt" w:hanging="17.70pt"/>
      </w:pPr>
      <w:r>
        <w:t xml:space="preserve">S. Das and P. N. Suganthan, “Differential evolution: A survey of the state-of-the-art,” </w:t>
      </w:r>
      <w:r>
        <w:rPr>
          <w:i/>
          <w:iCs/>
        </w:rPr>
        <w:t>IEEE Transactions on Evolutionary Computation</w:t>
      </w:r>
      <w:r>
        <w:t>, vol. 15, no. 1, pp. 4–31, 2011.</w:t>
      </w:r>
    </w:p>
    <w:p w14:paraId="3E9ADA0F" w14:textId="77777777" w:rsidR="00A72601" w:rsidRDefault="00000000">
      <w:pPr>
        <w:pStyle w:val="references"/>
        <w:ind w:start="17.70pt" w:hanging="17.70pt"/>
      </w:pPr>
      <w:r>
        <w:t xml:space="preserve">K. Deb, A. Pratap, S. Agarwal, and T. Meyarivan, “A fast and elitist multiobjective genetic algorithm: NSGA-II,” </w:t>
      </w:r>
      <w:r>
        <w:rPr>
          <w:i/>
          <w:iCs/>
        </w:rPr>
        <w:t>IEEE Transactions on Evolutionary Computation</w:t>
      </w:r>
      <w:r>
        <w:t>, vol. 6, no. 2, pp. 182–197, 2002.</w:t>
      </w:r>
    </w:p>
    <w:p w14:paraId="5EC1B25C" w14:textId="77777777" w:rsidR="00E82A32" w:rsidRDefault="00E82A32" w:rsidP="00E82A32">
      <w:pPr>
        <w:pStyle w:val="references"/>
        <w:numPr>
          <w:ilvl w:val="0"/>
          <w:numId w:val="0"/>
        </w:numPr>
        <w:ind w:start="18pt" w:hanging="18pt"/>
        <w:sectPr w:rsidR="00E82A32">
          <w:type w:val="continuous"/>
          <w:pgSz w:w="595.30pt" w:h="841.90pt" w:code="9"/>
          <w:pgMar w:top="54pt" w:right="45.35pt" w:bottom="72pt" w:left="45.35pt" w:header="36pt" w:footer="36pt" w:gutter="0pt"/>
          <w:cols w:num="2" w:space="18pt"/>
          <w:docGrid w:linePitch="360"/>
        </w:sectPr>
      </w:pPr>
    </w:p>
    <w:p w14:paraId="47E46E27" w14:textId="4E2A438C" w:rsidR="00B405B7" w:rsidRDefault="00B405B7"/>
    <w:sectPr w:rsidR="00B405B7"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15B50C" w14:textId="77777777" w:rsidR="00B405B7" w:rsidRDefault="00B405B7" w:rsidP="001A3B3D">
      <w:r>
        <w:separator/>
      </w:r>
    </w:p>
  </w:endnote>
  <w:endnote w:type="continuationSeparator" w:id="0">
    <w:p w14:paraId="7D99F6FB" w14:textId="77777777" w:rsidR="00B405B7" w:rsidRDefault="00B405B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0F47725"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F0CAD49"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C56EF4B"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F775E6" w14:textId="77777777" w:rsidR="00B405B7" w:rsidRDefault="00B405B7" w:rsidP="001A3B3D">
      <w:r>
        <w:separator/>
      </w:r>
    </w:p>
  </w:footnote>
  <w:footnote w:type="continuationSeparator" w:id="0">
    <w:p w14:paraId="7B4BDADE" w14:textId="77777777" w:rsidR="00B405B7" w:rsidRDefault="00B405B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7E322BF"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3D663DA"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D3951A1"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0F0959"/>
    <w:rsid w:val="001A2EFD"/>
    <w:rsid w:val="001A3B3D"/>
    <w:rsid w:val="001B67DC"/>
    <w:rsid w:val="002254A9"/>
    <w:rsid w:val="00230DB3"/>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4E1C63"/>
    <w:rsid w:val="005067CE"/>
    <w:rsid w:val="00551B7F"/>
    <w:rsid w:val="0056610F"/>
    <w:rsid w:val="00575BCA"/>
    <w:rsid w:val="00582C8E"/>
    <w:rsid w:val="005B0344"/>
    <w:rsid w:val="005B520E"/>
    <w:rsid w:val="005E2800"/>
    <w:rsid w:val="005E3574"/>
    <w:rsid w:val="00605825"/>
    <w:rsid w:val="00635833"/>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373C1"/>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72601"/>
    <w:rsid w:val="00AE3409"/>
    <w:rsid w:val="00B11A60"/>
    <w:rsid w:val="00B22613"/>
    <w:rsid w:val="00B405B7"/>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596C"/>
    <w:rsid w:val="00E82A32"/>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2CC465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82A32"/>
    <w:rPr>
      <w:color w:val="0563C1" w:themeColor="hyperlink"/>
      <w:u w:val="single"/>
    </w:rPr>
  </w:style>
  <w:style w:type="character" w:styleId="UnresolvedMention">
    <w:name w:val="Unresolved Mention"/>
    <w:basedOn w:val="DefaultParagraphFont"/>
    <w:uiPriority w:val="99"/>
    <w:semiHidden/>
    <w:unhideWhenUsed/>
    <w:rsid w:val="00E82A32"/>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hyperlink" Target="https://doi.org/10.1177/27523543251365678" TargetMode="External"/><Relationship Id="rId3" Type="http://purl.oclc.org/ooxml/officeDocument/relationships/styles" Target="styles.xml"/><Relationship Id="rId21" Type="http://purl.oclc.org/ooxml/officeDocument/relationships/hyperlink" Target="https://doi.org/10.1007/s41019-025-00335-5" TargetMode="External"/><Relationship Id="rId7" Type="http://purl.oclc.org/ooxml/officeDocument/relationships/endnotes" Target="endnotes.xml"/><Relationship Id="rId12" Type="http://purl.oclc.org/ooxml/officeDocument/relationships/header" Target="header3.xml"/><Relationship Id="rId17" Type="http://purl.oclc.org/ooxml/officeDocument/relationships/hyperlink" Target="https://doi.org/10.1177/27523543251365678" TargetMode="External"/><Relationship Id="rId2" Type="http://purl.oclc.org/ooxml/officeDocument/relationships/numbering" Target="numbering.xml"/><Relationship Id="rId16" Type="http://purl.oclc.org/ooxml/officeDocument/relationships/hyperlink" Target="https://doi.org/10.1007/s41019-025-00335-5" TargetMode="External"/><Relationship Id="rId20" Type="http://purl.oclc.org/ooxml/officeDocument/relationships/hyperlink" Target="https://doi.org/10.1016/j.simpat.2007.07.007"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hyperlink" Target="https://arxiv.org/abs/2312.10997&#160;" TargetMode="External"/><Relationship Id="rId23" Type="http://purl.oclc.org/ooxml/officeDocument/relationships/theme" Target="theme/theme1.xml"/><Relationship Id="rId10" Type="http://purl.oclc.org/ooxml/officeDocument/relationships/footer" Target="footer1.xml"/><Relationship Id="rId19" Type="http://purl.oclc.org/ooxml/officeDocument/relationships/hyperlink" Target="https://doi.org/10.1080/08874417.2025.2483832" TargetMode="Externa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27</TotalTime>
  <Pages>5</Pages>
  <Words>4123</Words>
  <Characters>23504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Meta Society: A Simulation-Driven AI Policy Advisor for Data-Grounded Smart Governance</vt:lpstr>
    </vt:vector>
  </TitlesOfParts>
  <Company>IEEE</Company>
  <LinksUpToDate>false</LinksUpToDate>
  <CharactersWithSpaces>27572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Society: A Simulation-Driven AI Policy Advisor for Data-Grounded Smart Governance</dc:title>
  <dc:subject/>
  <dc:creator>Priti Chaugule;Mayuri Kulkarni;Priyanka Jadhav;Payal Dongre</dc:creator>
  <cp:keywords/>
  <cp:lastModifiedBy>Priyanka Jadhav</cp:lastModifiedBy>
  <cp:revision>3</cp:revision>
  <dcterms:created xsi:type="dcterms:W3CDTF">2026-10-01T16:13:00Z</dcterms:created>
  <dcterms:modified xsi:type="dcterms:W3CDTF">2026-10-01T16:41:00Z</dcterms:modified>
</cp:coreProperties>
</file>