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480"/>
              <w:left w:type="dxa" w:w="360"/>
              <w:bottom w:type="dxa" w:w="480"/>
              <w:right w:type="dxa" w:w="360"/>
            </w:tcMar>
          </w:tcPr>
          <w:p>
            <w:pPr>
              <w:spacing w:after="80" w:before="0"/>
            </w:pPr>
            <w:r>
              <w:rPr>
                <w:rFonts w:ascii="Arial" w:cs="Arial" w:eastAsia="Arial" w:hAnsi="Arial"/>
                <w:caps/>
                <w:color w:val="A0C4E0"/>
                <w:sz w:val="18"/>
                <w:szCs w:val="18"/>
              </w:rPr>
              <w:t xml:space="preserve">CONSULTING CASE STUDY</w:t>
            </w:r>
          </w:p>
          <w:p>
            <w:pPr>
              <w:spacing w:after="120" w:before="0"/>
            </w:pPr>
            <w:r>
              <w:rPr>
                <w:rFonts w:ascii="Arial" w:cs="Arial" w:eastAsia="Arial" w:hAnsi="Arial"/>
                <w:b/>
                <w:bCs/>
                <w:color w:val="FFFFFF"/>
                <w:sz w:val="44"/>
                <w:szCs w:val="44"/>
              </w:rPr>
              <w:t xml:space="preserve">ERP Implementation Risk Analysis</w:t>
            </w:r>
          </w:p>
          <w:p>
            <w:pPr>
              <w:spacing w:after="0" w:before="0"/>
            </w:pPr>
            <w:r>
              <w:rPr>
                <w:rFonts w:ascii="Arial" w:cs="Arial" w:eastAsia="Arial" w:hAnsi="Arial"/>
                <w:color w:val="A0C4E0"/>
                <w:sz w:val="26"/>
                <w:szCs w:val="26"/>
              </w:rPr>
              <w:t xml:space="preserve">Revlon SAP S/4HANA Failure: A $130M+ Supply Chain Collapse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160"/>
              <w:left w:type="dxa" w:w="160"/>
              <w:bottom w:type="dxa" w:w="160"/>
              <w:right w:type="dxa" w:w="160"/>
            </w:tcMar>
          </w:tcPr>
          <w:p>
            <w:pPr>
              <w:jc w:val="center"/>
            </w:pPr>
            <w:r>
              <w:rPr>
                <w:rFonts w:ascii="Arial" w:cs="Arial" w:eastAsia="Arial" w:hAnsi="Arial"/>
                <w:b/>
                <w:bCs/>
                <w:color w:val="1a3a5c"/>
                <w:sz w:val="44"/>
                <w:szCs w:val="44"/>
              </w:rPr>
              <w:t xml:space="preserve">$64M</w:t>
            </w:r>
          </w:p>
          <w:p>
            <w:pPr>
              <w:jc w:val="center"/>
            </w:pPr>
            <w:r>
              <w:rPr>
                <w:rFonts w:ascii="Arial" w:cs="Arial" w:eastAsia="Arial" w:hAnsi="Arial"/>
                <w:color w:val="666666"/>
                <w:sz w:val="18"/>
                <w:szCs w:val="18"/>
              </w:rPr>
              <w:t xml:space="preserve">Unfulfilled shipments</w:t>
            </w:r>
          </w:p>
        </w:tc>
        <w:tc>
          <w:tcPr>
            <w:tcW w:type="dxa" w:w="2340"/>
            <w:tcBorders>
              <w:top w:val="single" w:color="CCCCCC" w:sz="1"/>
              <w:left w:val="single" w:color="CCCCCC" w:sz="1"/>
              <w:bottom w:val="single" w:color="CCCCCC" w:sz="1"/>
              <w:right w:val="single" w:color="CCCCCC" w:sz="1"/>
            </w:tcBorders>
            <w:shd w:fill="D5E8F0" w:val="clear"/>
            <w:tcMar>
              <w:top w:type="dxa" w:w="160"/>
              <w:left w:type="dxa" w:w="160"/>
              <w:bottom w:type="dxa" w:w="160"/>
              <w:right w:type="dxa" w:w="160"/>
            </w:tcMar>
          </w:tcPr>
          <w:p>
            <w:pPr>
              <w:jc w:val="center"/>
            </w:pPr>
            <w:r>
              <w:rPr>
                <w:rFonts w:ascii="Arial" w:cs="Arial" w:eastAsia="Arial" w:hAnsi="Arial"/>
                <w:b/>
                <w:bCs/>
                <w:color w:val="1a3a5c"/>
                <w:sz w:val="44"/>
                <w:szCs w:val="44"/>
              </w:rPr>
              <w:t xml:space="preserve">$54M</w:t>
            </w:r>
          </w:p>
          <w:p>
            <w:pPr>
              <w:jc w:val="center"/>
            </w:pPr>
            <w:r>
              <w:rPr>
                <w:rFonts w:ascii="Arial" w:cs="Arial" w:eastAsia="Arial" w:hAnsi="Arial"/>
                <w:color w:val="666666"/>
                <w:sz w:val="18"/>
                <w:szCs w:val="18"/>
              </w:rPr>
              <w:t xml:space="preserve">Direct remediation cost</w:t>
            </w:r>
          </w:p>
        </w:tc>
        <w:tc>
          <w:tcPr>
            <w:tcW w:type="dxa" w:w="2340"/>
            <w:tcBorders>
              <w:top w:val="single" w:color="CCCCCC" w:sz="1"/>
              <w:left w:val="single" w:color="CCCCCC" w:sz="1"/>
              <w:bottom w:val="single" w:color="CCCCCC" w:sz="1"/>
              <w:right w:val="single" w:color="CCCCCC" w:sz="1"/>
            </w:tcBorders>
            <w:shd w:fill="D5E8F0" w:val="clear"/>
            <w:tcMar>
              <w:top w:type="dxa" w:w="160"/>
              <w:left w:type="dxa" w:w="160"/>
              <w:bottom w:type="dxa" w:w="160"/>
              <w:right w:type="dxa" w:w="160"/>
            </w:tcMar>
          </w:tcPr>
          <w:p>
            <w:pPr>
              <w:jc w:val="center"/>
            </w:pPr>
            <w:r>
              <w:rPr>
                <w:rFonts w:ascii="Arial" w:cs="Arial" w:eastAsia="Arial" w:hAnsi="Arial"/>
                <w:b/>
                <w:bCs/>
                <w:color w:val="1a3a5c"/>
                <w:sz w:val="44"/>
                <w:szCs w:val="44"/>
              </w:rPr>
              <w:t xml:space="preserve">3+</w:t>
            </w:r>
          </w:p>
          <w:p>
            <w:pPr>
              <w:jc w:val="center"/>
            </w:pPr>
            <w:r>
              <w:rPr>
                <w:rFonts w:ascii="Arial" w:cs="Arial" w:eastAsia="Arial" w:hAnsi="Arial"/>
                <w:color w:val="666666"/>
                <w:sz w:val="18"/>
                <w:szCs w:val="18"/>
              </w:rPr>
              <w:t xml:space="preserve">Shareholder lawsuits</w:t>
            </w:r>
          </w:p>
        </w:tc>
        <w:tc>
          <w:tcPr>
            <w:tcW w:type="dxa" w:w="2340"/>
            <w:tcBorders>
              <w:top w:val="single" w:color="CCCCCC" w:sz="1"/>
              <w:left w:val="single" w:color="CCCCCC" w:sz="1"/>
              <w:bottom w:val="single" w:color="CCCCCC" w:sz="1"/>
              <w:right w:val="single" w:color="CCCCCC" w:sz="1"/>
            </w:tcBorders>
            <w:shd w:fill="D5E8F0" w:val="clear"/>
            <w:tcMar>
              <w:top w:type="dxa" w:w="160"/>
              <w:left w:type="dxa" w:w="160"/>
              <w:bottom w:type="dxa" w:w="160"/>
              <w:right w:type="dxa" w:w="160"/>
            </w:tcMar>
          </w:tcPr>
          <w:p>
            <w:pPr>
              <w:jc w:val="center"/>
            </w:pPr>
            <w:r>
              <w:rPr>
                <w:rFonts w:ascii="Arial" w:cs="Arial" w:eastAsia="Arial" w:hAnsi="Arial"/>
                <w:b/>
                <w:bCs/>
                <w:color w:val="1a3a5c"/>
                <w:sz w:val="44"/>
                <w:szCs w:val="44"/>
              </w:rPr>
              <w:t xml:space="preserve">6.4%</w:t>
            </w:r>
          </w:p>
          <w:p>
            <w:pPr>
              <w:jc w:val="center"/>
            </w:pPr>
            <w:r>
              <w:rPr>
                <w:rFonts w:ascii="Arial" w:cs="Arial" w:eastAsia="Arial" w:hAnsi="Arial"/>
                <w:color w:val="666666"/>
                <w:sz w:val="18"/>
                <w:szCs w:val="18"/>
              </w:rPr>
              <w:t xml:space="preserve">Stock drop (day of announcement</w:t>
            </w:r>
          </w:p>
        </w:tc>
      </w:tr>
    </w:tbl>
    <w:p>
      <w:pPr>
        <w:spacing w:after="160" w:before="0"/>
      </w:pPr>
    </w:p>
    <w:p>
      <w:pPr>
        <w:spacing w:after="80" w:before="80"/>
      </w:pPr>
      <w:r>
        <w:rPr>
          <w:rFonts w:ascii="Arial" w:cs="Arial" w:eastAsia="Arial" w:hAnsi="Arial"/>
          <w:color w:val="333333"/>
          <w:sz w:val="22"/>
          <w:szCs w:val="22"/>
        </w:rPr>
        <w:t xml:space="preserve">This case study analyzes the root causes of Revlon's 2018 SAP S/4HANA ERP implementation failure — one of the most documented enterprise system disasters in the consumer goods industry. The analysis applies an issue-tree root cause framework and draws on 4 years of direct ERP implementation experience to identify what went wrong and what should have been done differently.</w:t>
      </w:r>
    </w:p>
    <w:p>
      <w:pPr>
        <w:spacing w:after="80" w:before="0"/>
      </w:pPr>
    </w:p>
    <w:p>
      <w:pPr>
        <w:pBdr>
          <w:bottom w:val="single" w:color="CCCCCC" w:sz="2" w:space="1"/>
        </w:pBdr>
        <w:spacing w:after="240" w:before="240"/>
      </w:pPr>
    </w:p>
    <w:p>
      <w:pPr>
        <w:spacing w:after="80" w:before="0"/>
      </w:pPr>
    </w:p>
    <w:p>
      <w:r>
        <w:rPr>
          <w:rFonts w:ascii="Arial" w:cs="Arial" w:eastAsia="Arial" w:hAnsi="Arial"/>
          <w:b/>
          <w:bCs/>
          <w:color w:val="333333"/>
          <w:sz w:val="22"/>
          <w:szCs w:val="22"/>
        </w:rPr>
        <w:t xml:space="preserve">Author: </w:t>
      </w:r>
      <w:r>
        <w:rPr>
          <w:rFonts w:ascii="Arial" w:cs="Arial" w:eastAsia="Arial" w:hAnsi="Arial"/>
          <w:color w:val="333333"/>
          <w:sz w:val="22"/>
          <w:szCs w:val="22"/>
        </w:rPr>
        <w:t xml:space="preserve">Payal Jarviya</w:t>
      </w:r>
    </w:p>
    <w:p>
      <w:r>
        <w:rPr>
          <w:rFonts w:ascii="Arial" w:cs="Arial" w:eastAsia="Arial" w:hAnsi="Arial"/>
          <w:b/>
          <w:bCs/>
          <w:color w:val="333333"/>
          <w:sz w:val="22"/>
          <w:szCs w:val="22"/>
        </w:rPr>
        <w:t xml:space="preserve">Program: </w:t>
      </w:r>
      <w:r>
        <w:rPr>
          <w:rFonts w:ascii="Arial" w:cs="Arial" w:eastAsia="Arial" w:hAnsi="Arial"/>
          <w:color w:val="333333"/>
          <w:sz w:val="22"/>
          <w:szCs w:val="22"/>
        </w:rPr>
        <w:t xml:space="preserve">MBA, AI &amp; Business Analytics | SKK GSB, Sungkyunkwan University, Seoul</w:t>
      </w:r>
    </w:p>
    <w:p>
      <w:r>
        <w:rPr>
          <w:rFonts w:ascii="Arial" w:cs="Arial" w:eastAsia="Arial" w:hAnsi="Arial"/>
          <w:b/>
          <w:bCs/>
          <w:color w:val="333333"/>
          <w:sz w:val="22"/>
          <w:szCs w:val="22"/>
        </w:rPr>
        <w:t xml:space="preserve">Prior Experience: </w:t>
      </w:r>
      <w:r>
        <w:rPr>
          <w:rFonts w:ascii="Arial" w:cs="Arial" w:eastAsia="Arial" w:hAnsi="Arial"/>
          <w:color w:val="333333"/>
          <w:sz w:val="22"/>
          <w:szCs w:val="22"/>
        </w:rPr>
        <w:t xml:space="preserve">4 years Enterprise ERP Consulting, NTT DATA North America (PeopleSoft FSCM)</w:t>
      </w:r>
    </w:p>
    <w:p>
      <w:r>
        <w:rPr>
          <w:rFonts w:ascii="Arial" w:cs="Arial" w:eastAsia="Arial" w:hAnsi="Arial"/>
          <w:b/>
          <w:bCs/>
          <w:color w:val="333333"/>
          <w:sz w:val="22"/>
          <w:szCs w:val="22"/>
        </w:rPr>
        <w:t xml:space="preserve">Date: </w:t>
      </w:r>
      <w:r>
        <w:rPr>
          <w:rFonts w:ascii="Arial" w:cs="Arial" w:eastAsia="Arial" w:hAnsi="Arial"/>
          <w:color w:val="333333"/>
          <w:sz w:val="22"/>
          <w:szCs w:val="22"/>
        </w:rPr>
        <w:t xml:space="preserve">June 2026</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2E75B6" w:sz="4" w:space="6"/>
        </w:pBdr>
        <w:spacing w:after="120" w:before="320"/>
      </w:pPr>
      <w:r>
        <w:rPr>
          <w:rFonts w:ascii="Arial" w:cs="Arial" w:eastAsia="Arial" w:hAnsi="Arial"/>
          <w:b/>
          <w:bCs/>
          <w:color w:val="1a3a5c"/>
          <w:sz w:val="28"/>
          <w:szCs w:val="28"/>
        </w:rPr>
        <w:t xml:space="preserve">Executive Summary</w:t>
      </w:r>
    </w:p>
    <w:p>
      <w:pPr>
        <w:spacing w:after="80" w:before="80"/>
      </w:pPr>
      <w:r>
        <w:rPr>
          <w:rFonts w:ascii="Arial" w:cs="Arial" w:eastAsia="Arial" w:hAnsi="Arial"/>
          <w:color w:val="333333"/>
          <w:sz w:val="22"/>
          <w:szCs w:val="22"/>
        </w:rPr>
        <w:t xml:space="preserve">In February 2018, Revlon Inc. launched SAP S/4HANA at its Oxford, North Carolina manufacturing facility — a rollout intended to modernize operations following its acquisition of Elizabeth Arden. Within weeks, the system failed to function as intended. The result: $64M in unfulfilled product shipments, $54M in direct remediation costs, a material weakness in internal controls, three separate shareholder class action lawsuits, the resignation of the CFO, and a 6.4% single-day stock decline.</w:t>
      </w:r>
    </w:p>
    <w:p>
      <w:pPr>
        <w:spacing w:after="80" w:before="0"/>
      </w:pPr>
    </w:p>
    <w:p>
      <w:pPr>
        <w:spacing w:after="80" w:before="80"/>
      </w:pPr>
      <w:r>
        <w:rPr>
          <w:rFonts w:ascii="Arial" w:cs="Arial" w:eastAsia="Arial" w:hAnsi="Arial"/>
          <w:color w:val="333333"/>
          <w:sz w:val="22"/>
          <w:szCs w:val="22"/>
        </w:rPr>
        <w:t xml:space="preserve">This was not a technology failure. SAP S/4HANA is proven enterprise software deployed successfully at thousands of global companies. This was an implementation failure — rooted in four organizational decisions made before and during the rollout that are entirely avoidable.</w:t>
      </w:r>
    </w:p>
    <w:p>
      <w:pPr>
        <w:spacing w:after="160" w:before="0"/>
      </w:pPr>
    </w:p>
    <w:p>
      <w:pPr>
        <w:pStyle w:val="Heading1"/>
        <w:pBdr>
          <w:bottom w:val="single" w:color="2E75B6" w:sz="4" w:space="6"/>
        </w:pBdr>
        <w:spacing w:after="120" w:before="320"/>
      </w:pPr>
      <w:r>
        <w:rPr>
          <w:rFonts w:ascii="Arial" w:cs="Arial" w:eastAsia="Arial" w:hAnsi="Arial"/>
          <w:b/>
          <w:bCs/>
          <w:color w:val="1a3a5c"/>
          <w:sz w:val="28"/>
          <w:szCs w:val="28"/>
        </w:rPr>
        <w:t xml:space="preserve">1. Situation</w:t>
      </w:r>
    </w:p>
    <w:p>
      <w:pPr>
        <w:spacing w:after="80" w:before="80"/>
      </w:pPr>
      <w:r>
        <w:rPr>
          <w:rFonts w:ascii="Arial" w:cs="Arial" w:eastAsia="Arial" w:hAnsi="Arial"/>
          <w:color w:val="333333"/>
          <w:sz w:val="22"/>
          <w:szCs w:val="22"/>
        </w:rPr>
        <w:t xml:space="preserve">Revlon is a global consumer goods company (cosmetics, personal care, fragrance) with revenues of approximately $2.7B. In 2016, Revlon completed an $870M acquisition of Elizabeth Arden, significantly expanding its product portfolio and manufacturing complexity.</w:t>
      </w:r>
    </w:p>
    <w:p>
      <w:pPr>
        <w:spacing w:after="80" w:before="0"/>
      </w:pPr>
    </w:p>
    <w:p>
      <w:pPr>
        <w:spacing w:after="80" w:before="80"/>
      </w:pPr>
      <w:r>
        <w:rPr>
          <w:rFonts w:ascii="Arial" w:cs="Arial" w:eastAsia="Arial" w:hAnsi="Arial"/>
          <w:color w:val="333333"/>
          <w:sz w:val="22"/>
          <w:szCs w:val="22"/>
        </w:rPr>
        <w:t xml:space="preserve">The SAP S/4HANA project was initiated to:</w:t>
      </w:r>
    </w:p>
    <w:p>
      <w:pPr>
        <w:pStyle w:val="ListParagraph"/>
        <w:numPr>
          <w:ilvl w:val="0"/>
          <w:numId w:val="2"/>
        </w:numPr>
        <w:spacing w:after="60" w:before="60"/>
      </w:pPr>
      <w:r>
        <w:rPr>
          <w:rFonts w:ascii="Arial" w:cs="Arial" w:eastAsia="Arial" w:hAnsi="Arial"/>
          <w:color w:val="333333"/>
          <w:sz w:val="22"/>
          <w:szCs w:val="22"/>
        </w:rPr>
        <w:t xml:space="preserve">Consolidate multiple legacy systems (Revlon and Elizabeth Arden used different ERP platforms) onto a single integrated platform</w:t>
      </w:r>
    </w:p>
    <w:p>
      <w:pPr>
        <w:pStyle w:val="ListParagraph"/>
        <w:numPr>
          <w:ilvl w:val="0"/>
          <w:numId w:val="2"/>
        </w:numPr>
        <w:spacing w:after="60" w:before="60"/>
      </w:pPr>
      <w:r>
        <w:rPr>
          <w:rFonts w:ascii="Arial" w:cs="Arial" w:eastAsia="Arial" w:hAnsi="Arial"/>
          <w:color w:val="333333"/>
          <w:sz w:val="22"/>
          <w:szCs w:val="22"/>
        </w:rPr>
        <w:t xml:space="preserve">Modernize supply chain operations — inventory management, production planning, procurement — across North American facilities</w:t>
      </w:r>
    </w:p>
    <w:p>
      <w:pPr>
        <w:pStyle w:val="ListParagraph"/>
        <w:numPr>
          <w:ilvl w:val="0"/>
          <w:numId w:val="2"/>
        </w:numPr>
        <w:spacing w:after="60" w:before="60"/>
      </w:pPr>
      <w:r>
        <w:rPr>
          <w:rFonts w:ascii="Arial" w:cs="Arial" w:eastAsia="Arial" w:hAnsi="Arial"/>
          <w:color w:val="333333"/>
          <w:sz w:val="22"/>
          <w:szCs w:val="22"/>
        </w:rPr>
        <w:t xml:space="preserve">Achieve the operational synergies promised to shareholders from the Elizabeth Arden acquisition</w:t>
      </w:r>
    </w:p>
    <w:p>
      <w:pPr>
        <w:pStyle w:val="ListParagraph"/>
        <w:numPr>
          <w:ilvl w:val="0"/>
          <w:numId w:val="2"/>
        </w:numPr>
        <w:spacing w:after="60" w:before="60"/>
      </w:pPr>
      <w:r>
        <w:rPr>
          <w:rFonts w:ascii="Arial" w:cs="Arial" w:eastAsia="Arial" w:hAnsi="Arial"/>
          <w:color w:val="333333"/>
          <w:sz w:val="22"/>
          <w:szCs w:val="22"/>
        </w:rPr>
        <w:t xml:space="preserve">Reduce total cost of ownership by eliminating redundant legacy system maintenance</w:t>
      </w:r>
    </w:p>
    <w:p>
      <w:pPr>
        <w:spacing w:after="80" w:before="0"/>
      </w:pPr>
    </w:p>
    <w:p>
      <w:pPr>
        <w:spacing w:after="80" w:before="80"/>
      </w:pPr>
      <w:r>
        <w:rPr>
          <w:rFonts w:ascii="Arial" w:cs="Arial" w:eastAsia="Arial" w:hAnsi="Arial"/>
          <w:color w:val="333333"/>
          <w:sz w:val="22"/>
          <w:szCs w:val="22"/>
        </w:rPr>
        <w:t xml:space="preserve">The Oxford, NC facility was chosen as the first rollout site — a high-stakes decision, as Oxford was Revlon's primary North American manufacturing site responsible for shipping significant volumes to major US retailers including Walmart and CVS.</w:t>
      </w:r>
    </w:p>
    <w:p>
      <w:pPr>
        <w:spacing w:after="160" w:before="0"/>
      </w:pPr>
    </w:p>
    <w:p>
      <w:pPr>
        <w:pStyle w:val="Heading1"/>
        <w:pBdr>
          <w:bottom w:val="single" w:color="2E75B6" w:sz="4" w:space="6"/>
        </w:pBdr>
        <w:spacing w:after="120" w:before="320"/>
      </w:pPr>
      <w:r>
        <w:rPr>
          <w:rFonts w:ascii="Arial" w:cs="Arial" w:eastAsia="Arial" w:hAnsi="Arial"/>
          <w:b/>
          <w:bCs/>
          <w:color w:val="1a3a5c"/>
          <w:sz w:val="28"/>
          <w:szCs w:val="28"/>
        </w:rPr>
        <w:t xml:space="preserve">2. Complication</w:t>
      </w:r>
    </w:p>
    <w:p>
      <w:pPr>
        <w:spacing w:after="80" w:before="80"/>
      </w:pPr>
      <w:r>
        <w:rPr>
          <w:rFonts w:ascii="Arial" w:cs="Arial" w:eastAsia="Arial" w:hAnsi="Arial"/>
          <w:color w:val="333333"/>
          <w:sz w:val="22"/>
          <w:szCs w:val="22"/>
        </w:rPr>
        <w:t xml:space="preserve">The SAP system went live in early February 2018. Within the first weeks:</w:t>
      </w:r>
    </w:p>
    <w:p>
      <w:pPr>
        <w:spacing w:after="80" w:before="0"/>
      </w:pPr>
    </w:p>
    <w:p>
      <w:pPr>
        <w:pStyle w:val="ListParagraph"/>
        <w:numPr>
          <w:ilvl w:val="0"/>
          <w:numId w:val="2"/>
        </w:numPr>
        <w:spacing w:after="60" w:before="60"/>
      </w:pPr>
      <w:r>
        <w:rPr>
          <w:rFonts w:ascii="Arial" w:cs="Arial" w:eastAsia="Arial" w:hAnsi="Arial"/>
          <w:color w:val="333333"/>
          <w:sz w:val="22"/>
          <w:szCs w:val="22"/>
        </w:rPr>
        <w:t xml:space="preserve">The system could not accurately reflect real-time inventory levels, creating a mismatch between system data and warehouse reality</w:t>
      </w:r>
    </w:p>
    <w:p>
      <w:pPr>
        <w:pStyle w:val="ListParagraph"/>
        <w:numPr>
          <w:ilvl w:val="0"/>
          <w:numId w:val="2"/>
        </w:numPr>
        <w:spacing w:after="60" w:before="60"/>
      </w:pPr>
      <w:r>
        <w:rPr>
          <w:rFonts w:ascii="Arial" w:cs="Arial" w:eastAsia="Arial" w:hAnsi="Arial"/>
          <w:color w:val="333333"/>
          <w:sz w:val="22"/>
          <w:szCs w:val="22"/>
        </w:rPr>
        <w:t xml:space="preserve">Production scheduling broke down — MRP outputs were unreliable, making it impossible to determine what to manufacture and when</w:t>
      </w:r>
    </w:p>
    <w:p>
      <w:pPr>
        <w:pStyle w:val="ListParagraph"/>
        <w:numPr>
          <w:ilvl w:val="0"/>
          <w:numId w:val="2"/>
        </w:numPr>
        <w:spacing w:after="60" w:before="60"/>
      </w:pPr>
      <w:r>
        <w:rPr>
          <w:rFonts w:ascii="Arial" w:cs="Arial" w:eastAsia="Arial" w:hAnsi="Arial"/>
          <w:color w:val="333333"/>
          <w:sz w:val="22"/>
          <w:szCs w:val="22"/>
        </w:rPr>
        <w:t xml:space="preserve">Order fulfillment halted as warehouse staff could not process outbound shipments through the new system</w:t>
      </w:r>
    </w:p>
    <w:p>
      <w:pPr>
        <w:pStyle w:val="ListParagraph"/>
        <w:numPr>
          <w:ilvl w:val="0"/>
          <w:numId w:val="2"/>
        </w:numPr>
        <w:spacing w:after="60" w:before="60"/>
      </w:pPr>
      <w:r>
        <w:rPr>
          <w:rFonts w:ascii="Arial" w:cs="Arial" w:eastAsia="Arial" w:hAnsi="Arial"/>
          <w:color w:val="333333"/>
          <w:sz w:val="22"/>
          <w:szCs w:val="22"/>
        </w:rPr>
        <w:t xml:space="preserve">Revlon was unable to fill approximately $64M worth of product orders, directly impacting revenue and customer relationships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Impact Category</w:t>
            </w:r>
          </w:p>
        </w:tc>
        <w:tc>
          <w:tcPr>
            <w:tcW w:type="dxa" w:w="378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Quantified Impact</w:t>
            </w:r>
          </w:p>
        </w:tc>
      </w:tr>
      <w:tr>
        <w:tc>
          <w:tcPr>
            <w:tcW w:type="dxa" w:w="55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666666"/>
                <w:sz w:val="22"/>
                <w:szCs w:val="22"/>
              </w:rPr>
              <w:t xml:space="preserve">Unfulfilled product shipments</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C0392B"/>
                <w:sz w:val="22"/>
                <w:szCs w:val="22"/>
              </w:rPr>
              <w:t xml:space="preserve">$64M in lost net sales</w:t>
            </w:r>
          </w:p>
        </w:tc>
      </w:tr>
      <w:tr>
        <w:tc>
          <w:tcPr>
            <w:tcW w:type="dxa" w:w="55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666666"/>
                <w:sz w:val="22"/>
                <w:szCs w:val="22"/>
              </w:rPr>
              <w:t xml:space="preserve">Direct remediation and recovery costs</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C0392B"/>
                <w:sz w:val="22"/>
                <w:szCs w:val="22"/>
              </w:rPr>
              <w:t xml:space="preserve">$54M</w:t>
            </w:r>
          </w:p>
        </w:tc>
      </w:tr>
      <w:tr>
        <w:tc>
          <w:tcPr>
            <w:tcW w:type="dxa" w:w="55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666666"/>
                <w:sz w:val="22"/>
                <w:szCs w:val="22"/>
              </w:rPr>
              <w:t xml:space="preserve">Q1 &amp; Q2 2018 revenue impact (SAP-attributed)</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C0392B"/>
                <w:sz w:val="22"/>
                <w:szCs w:val="22"/>
              </w:rPr>
              <w:t xml:space="preserve">~$30M net sales decline</w:t>
            </w:r>
          </w:p>
        </w:tc>
      </w:tr>
      <w:tr>
        <w:tc>
          <w:tcPr>
            <w:tcW w:type="dxa" w:w="55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666666"/>
                <w:sz w:val="22"/>
                <w:szCs w:val="22"/>
              </w:rPr>
              <w:t xml:space="preserve">Stock price decline on announcement day</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C0392B"/>
                <w:sz w:val="22"/>
                <w:szCs w:val="22"/>
              </w:rPr>
              <w:t xml:space="preserve">-6.4%</w:t>
            </w:r>
          </w:p>
        </w:tc>
      </w:tr>
      <w:tr>
        <w:tc>
          <w:tcPr>
            <w:tcW w:type="dxa" w:w="55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666666"/>
                <w:sz w:val="22"/>
                <w:szCs w:val="22"/>
              </w:rPr>
              <w:t xml:space="preserve">Internal control classification</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C0392B"/>
                <w:sz w:val="22"/>
                <w:szCs w:val="22"/>
              </w:rPr>
              <w:t xml:space="preserve">Material weakness declared</w:t>
            </w:r>
          </w:p>
        </w:tc>
      </w:tr>
      <w:tr>
        <w:tc>
          <w:tcPr>
            <w:tcW w:type="dxa" w:w="55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666666"/>
                <w:sz w:val="22"/>
                <w:szCs w:val="22"/>
              </w:rPr>
              <w:t xml:space="preserve">Legal proceedings</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C0392B"/>
                <w:sz w:val="22"/>
                <w:szCs w:val="22"/>
              </w:rPr>
              <w:t xml:space="preserve">3+ shareholder class action lawsuits</w:t>
            </w:r>
          </w:p>
        </w:tc>
      </w:tr>
      <w:tr>
        <w:tc>
          <w:tcPr>
            <w:tcW w:type="dxa" w:w="55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666666"/>
                <w:sz w:val="22"/>
                <w:szCs w:val="22"/>
              </w:rPr>
              <w:t xml:space="preserve">Executive departures</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C0392B"/>
                <w:sz w:val="22"/>
                <w:szCs w:val="22"/>
              </w:rPr>
              <w:t xml:space="preserve">CFO resigned March 2019</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after="80" w:before="0"/>
            </w:pPr>
            <w:r>
              <w:rPr>
                <w:rFonts w:ascii="Arial" w:cs="Arial" w:eastAsia="Arial" w:hAnsi="Arial"/>
                <w:b/>
                <w:bCs/>
                <w:color w:val="1a3a5c"/>
                <w:sz w:val="24"/>
                <w:szCs w:val="24"/>
              </w:rPr>
              <w:t xml:space="preserve">3. The Key Question</w:t>
            </w:r>
          </w:p>
          <w:p>
            <w:pPr>
              <w:spacing w:after="60" w:before="0"/>
            </w:pPr>
            <w:r>
              <w:rPr>
                <w:rFonts w:ascii="Arial" w:cs="Arial" w:eastAsia="Arial" w:hAnsi="Arial"/>
                <w:color w:val="333333"/>
                <w:sz w:val="22"/>
                <w:szCs w:val="22"/>
              </w:rPr>
              <w:t xml:space="preserve">Revlon had experienced leadership, adequate budget, a proven ERP platform, and clear strategic motivation.</w:t>
            </w:r>
          </w:p>
          <w:p>
            <w:pPr>
              <w:spacing w:after="60" w:before="0"/>
            </w:pPr>
            <w:r>
              <w:rPr>
                <w:rFonts w:ascii="Arial" w:cs="Arial" w:eastAsia="Arial" w:hAnsi="Arial"/>
                <w:color w:val="333333"/>
                <w:sz w:val="22"/>
                <w:szCs w:val="22"/>
              </w:rPr>
              <w:t xml:space="preserve">How did a well-resourced enterprise ERP implementation collapse within weeks of go-live — and what should have been done differently?</w:t>
            </w:r>
          </w:p>
        </w:tc>
      </w:tr>
    </w:tbl>
    <w:p>
      <w:pPr>
        <w:spacing w:after="160" w:before="0"/>
      </w:pPr>
    </w:p>
    <w:p>
      <w:pPr>
        <w:pStyle w:val="Heading1"/>
        <w:pBdr>
          <w:bottom w:val="single" w:color="2E75B6" w:sz="4" w:space="6"/>
        </w:pBdr>
        <w:spacing w:after="120" w:before="320"/>
      </w:pPr>
      <w:r>
        <w:rPr>
          <w:rFonts w:ascii="Arial" w:cs="Arial" w:eastAsia="Arial" w:hAnsi="Arial"/>
          <w:b/>
          <w:bCs/>
          <w:color w:val="1a3a5c"/>
          <w:sz w:val="28"/>
          <w:szCs w:val="28"/>
        </w:rPr>
        <w:t xml:space="preserve">4. Root Cause Analysis</w:t>
      </w:r>
    </w:p>
    <w:p>
      <w:pPr>
        <w:spacing w:after="80" w:before="80"/>
      </w:pPr>
      <w:r>
        <w:rPr>
          <w:rFonts w:ascii="Arial" w:cs="Arial" w:eastAsia="Arial" w:hAnsi="Arial"/>
          <w:color w:val="333333"/>
          <w:sz w:val="22"/>
          <w:szCs w:val="22"/>
        </w:rPr>
        <w:t xml:space="preserve">Using an issue-tree decomposition framework, four primary root causes emerge. These are not independent failures — they compound each other.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6000"/>
      </w:tblGrid>
      <w:tr>
        <w:tc>
          <w:tcPr>
            <w:tcW w:type="dxa" w:w="56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Evidence &amp; Analysis</w:t>
            </w:r>
          </w:p>
        </w:tc>
      </w:tr>
      <w:tr>
        <w:tc>
          <w:tcPr>
            <w:tcW w:type="dxa" w:w="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a5c"/>
                <w:sz w:val="22"/>
                <w:szCs w:val="22"/>
              </w:rPr>
              <w:t xml:space="preserve">Rushed Timeline Driven by Acquisition Pressure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Post-acquisition synergy commitments to shareholders created internal pressure to deliver the ERP rollout quickly. The implementation timeline did not allow adequate time for data cleansing, parallel testing, or user readiness. Legacy data from two separate ERP systems was migrated without full validation, causing inventory master data to be incomplete or conflicting at go-live.</w:t>
            </w:r>
          </w:p>
        </w:tc>
      </w:tr>
      <w:tr>
        <w:tc>
          <w:tcPr>
            <w:tcW w:type="dxa" w:w="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a5c"/>
                <w:sz w:val="22"/>
                <w:szCs w:val="22"/>
              </w:rPr>
              <w:t xml:space="preserve">Insufficient Change Management &amp; User Training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Front-line warehouse staff, planners, and procurement teams were not adequately trained on SAP S/4HANA workflows prior to go-live. Revlon later identified a material weakness in internal controls 'primarily related to lack of design and makings of effective controls' — a direct consequence of insufficient process redesign and training.</w:t>
            </w:r>
          </w:p>
        </w:tc>
      </w:tr>
      <w:tr>
        <w:tc>
          <w:tcPr>
            <w:tcW w:type="dxa" w:w="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a5c"/>
                <w:sz w:val="22"/>
                <w:szCs w:val="22"/>
              </w:rPr>
              <w:t xml:space="preserve">No End-to-End Validation Before Go-Live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Core workflows — production planning, MRP runs, warehouse management, outbound logistics — were not stress-tested under realistic operational conditions. Integration points between SAP and downstream systems were not fully validated. The system went live with known gaps, betting that issues would be resolved reactively rather than proactively.</w:t>
            </w:r>
          </w:p>
        </w:tc>
      </w:tr>
      <w:tr>
        <w:tc>
          <w:tcPr>
            <w:tcW w:type="dxa" w:w="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a5c"/>
                <w:sz w:val="22"/>
                <w:szCs w:val="22"/>
              </w:rPr>
              <w:t xml:space="preserve">Big Bang Rollout at a Critical Facility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Oxford, NC was not a low-risk pilot site. It was a primary manufacturing facility serving major retailers. Starting the rollout here — rather than at a smaller site — meant any failure would immediately propagate into customer-facing impact. A phased approach starting at a lower-volume facility would have contained the blast radius.</w:t>
            </w:r>
          </w:p>
        </w:tc>
      </w:tr>
    </w:tbl>
    <w:p>
      <w:pPr>
        <w:spacing w:after="160" w:before="0"/>
      </w:pPr>
    </w:p>
    <w:p>
      <w:pPr>
        <w:pStyle w:val="Heading1"/>
        <w:pBdr>
          <w:bottom w:val="single" w:color="2E75B6" w:sz="4" w:space="6"/>
        </w:pBdr>
        <w:spacing w:after="120" w:before="320"/>
      </w:pPr>
      <w:r>
        <w:rPr>
          <w:rFonts w:ascii="Arial" w:cs="Arial" w:eastAsia="Arial" w:hAnsi="Arial"/>
          <w:b/>
          <w:bCs/>
          <w:color w:val="1a3a5c"/>
          <w:sz w:val="28"/>
          <w:szCs w:val="28"/>
        </w:rPr>
        <w:t xml:space="preserve">5. What Should Have Been Done Differently</w:t>
      </w:r>
    </w:p>
    <w:p>
      <w:pPr>
        <w:pStyle w:val="Heading2"/>
        <w:spacing w:after="80" w:before="240"/>
      </w:pPr>
      <w:r>
        <w:rPr>
          <w:rFonts w:ascii="Arial" w:cs="Arial" w:eastAsia="Arial" w:hAnsi="Arial"/>
          <w:b/>
          <w:bCs/>
          <w:color w:val="2E75B6"/>
          <w:sz w:val="24"/>
          <w:szCs w:val="24"/>
        </w:rPr>
        <w:t xml:space="preserve">R1 — Decouple the ERP timeline from the M&amp;A synergy narrative</w:t>
      </w:r>
    </w:p>
    <w:p>
      <w:pPr>
        <w:spacing w:after="80" w:before="80"/>
      </w:pPr>
      <w:r>
        <w:rPr>
          <w:rFonts w:ascii="Arial" w:cs="Arial" w:eastAsia="Arial" w:hAnsi="Arial"/>
          <w:color w:val="333333"/>
          <w:sz w:val="22"/>
          <w:szCs w:val="22"/>
        </w:rPr>
        <w:t xml:space="preserve">ERP migration timelines should be driven by organizational readiness, not investor relations. The pressure to demonstrate post-acquisition synergies created a false urgency that compressed testing and training windows. A realistic 24-30 month implementation timeline for a rollout of this complexity — with board-level alignment — would have prevented the rushed go-live.</w:t>
      </w:r>
    </w:p>
    <w:p>
      <w:pPr>
        <w:spacing w:after="80" w:before="0"/>
      </w:pPr>
    </w:p>
    <w:p>
      <w:pPr>
        <w:pStyle w:val="Heading2"/>
        <w:spacing w:after="80" w:before="240"/>
      </w:pPr>
      <w:r>
        <w:rPr>
          <w:rFonts w:ascii="Arial" w:cs="Arial" w:eastAsia="Arial" w:hAnsi="Arial"/>
          <w:b/>
          <w:bCs/>
          <w:color w:val="2E75B6"/>
          <w:sz w:val="24"/>
          <w:szCs w:val="24"/>
        </w:rPr>
        <w:t xml:space="preserve">R2 — Mandate parallel system operation for 60-90 days</w:t>
      </w:r>
    </w:p>
    <w:p>
      <w:pPr>
        <w:spacing w:after="80" w:before="80"/>
      </w:pPr>
      <w:r>
        <w:rPr>
          <w:rFonts w:ascii="Arial" w:cs="Arial" w:eastAsia="Arial" w:hAnsi="Arial"/>
          <w:color w:val="333333"/>
          <w:sz w:val="22"/>
          <w:szCs w:val="22"/>
        </w:rPr>
        <w:t xml:space="preserve">Running both legacy and SAP systems simultaneously for 60-90 days before full cutover would have identified data integrity gaps and process failures without impacting live customer orders. The cost of parallel operations is trivially small relative to the $54M+ remediation bill Revlon ultimately paid.</w:t>
      </w:r>
    </w:p>
    <w:p>
      <w:pPr>
        <w:spacing w:after="80" w:before="0"/>
      </w:pPr>
    </w:p>
    <w:p>
      <w:pPr>
        <w:pStyle w:val="Heading2"/>
        <w:spacing w:after="80" w:before="240"/>
      </w:pPr>
      <w:r>
        <w:rPr>
          <w:rFonts w:ascii="Arial" w:cs="Arial" w:eastAsia="Arial" w:hAnsi="Arial"/>
          <w:b/>
          <w:bCs/>
          <w:color w:val="2E75B6"/>
          <w:sz w:val="24"/>
          <w:szCs w:val="24"/>
        </w:rPr>
        <w:t xml:space="preserve">R3 — Conduct a formal change readiness assessment as a hard go-live gate</w:t>
      </w:r>
    </w:p>
    <w:p>
      <w:pPr>
        <w:spacing w:after="80" w:before="80"/>
      </w:pPr>
      <w:r>
        <w:rPr>
          <w:rFonts w:ascii="Arial" w:cs="Arial" w:eastAsia="Arial" w:hAnsi="Arial"/>
          <w:color w:val="333333"/>
          <w:sz w:val="22"/>
          <w:szCs w:val="22"/>
        </w:rPr>
        <w:t xml:space="preserve">A structured change readiness assessment — covering role-level process changes, training completion rates, and user confidence — should have been a mandatory gate. If readiness scores fell below threshold, go-live should have been delayed regardless of management pressure.</w:t>
      </w:r>
    </w:p>
    <w:p>
      <w:pPr>
        <w:spacing w:after="80" w:before="0"/>
      </w:pPr>
    </w:p>
    <w:p>
      <w:pPr>
        <w:pStyle w:val="Heading2"/>
        <w:spacing w:after="80" w:before="240"/>
      </w:pPr>
      <w:r>
        <w:rPr>
          <w:rFonts w:ascii="Arial" w:cs="Arial" w:eastAsia="Arial" w:hAnsi="Arial"/>
          <w:b/>
          <w:bCs/>
          <w:color w:val="2E75B6"/>
          <w:sz w:val="24"/>
          <w:szCs w:val="24"/>
        </w:rPr>
        <w:t xml:space="preserve">R4 — Start at a non-critical facility</w:t>
      </w:r>
    </w:p>
    <w:p>
      <w:pPr>
        <w:spacing w:after="80" w:before="80"/>
      </w:pPr>
      <w:r>
        <w:rPr>
          <w:rFonts w:ascii="Arial" w:cs="Arial" w:eastAsia="Arial" w:hAnsi="Arial"/>
          <w:color w:val="333333"/>
          <w:sz w:val="22"/>
          <w:szCs w:val="22"/>
        </w:rPr>
        <w:t xml:space="preserve">Standard ERP methodology calls for phased rollout — starting at a smaller, lower-complexity facility where go-live issues can be resolved without impacting flagship production. Oxford was the wrong first site. A smaller distribution center would have provided a real-world test while protecting critical supply chain capacity.</w:t>
      </w:r>
    </w:p>
    <w:p>
      <w:pPr>
        <w:spacing w:after="160" w:before="0"/>
      </w:pPr>
    </w:p>
    <w:p>
      <w:pPr>
        <w:pStyle w:val="Heading1"/>
        <w:pBdr>
          <w:bottom w:val="single" w:color="2E75B6" w:sz="4" w:space="6"/>
        </w:pBdr>
        <w:spacing w:after="120" w:before="320"/>
      </w:pPr>
      <w:r>
        <w:rPr>
          <w:rFonts w:ascii="Arial" w:cs="Arial" w:eastAsia="Arial" w:hAnsi="Arial"/>
          <w:b/>
          <w:bCs/>
          <w:color w:val="1a3a5c"/>
          <w:sz w:val="28"/>
          <w:szCs w:val="28"/>
        </w:rPr>
        <w:t xml:space="preserve">6. Universal Lessons for ERP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What Goes Wrong</w:t>
            </w:r>
          </w:p>
        </w:tc>
        <w:tc>
          <w:tcPr>
            <w:tcW w:type="dxa" w:w="468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What Good Practice Looks Like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Timeline driven by business pressure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333333"/>
                <w:sz w:val="22"/>
                <w:szCs w:val="22"/>
              </w:rPr>
              <w:t xml:space="preserve">Hard readiness gates — delay go-live if criteria not met, regardless of pressure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Big bang rollout at a critical facility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Phased rollout: start small, prove the model, then scale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Data migration treated as a technical task</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333333"/>
                <w:sz w:val="22"/>
                <w:szCs w:val="22"/>
              </w:rPr>
              <w:t xml:space="preserve">Data governance as a business program: owners, cleansing sprints, sign-off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Change management as a training session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Change management as a 6-12 month organizational transformation program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Integration testing done in isolation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333333"/>
                <w:sz w:val="22"/>
                <w:szCs w:val="22"/>
              </w:rPr>
              <w:t xml:space="preserve">End-to-end simulation with realistic data volumes and all downstream systems live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after="80" w:before="0"/>
            </w:pPr>
            <w:r>
              <w:rPr>
                <w:rFonts w:ascii="Arial" w:cs="Arial" w:eastAsia="Arial" w:hAnsi="Arial"/>
                <w:b/>
                <w:bCs/>
                <w:color w:val="1a3a5c"/>
                <w:sz w:val="24"/>
                <w:szCs w:val="24"/>
              </w:rPr>
              <w:t xml:space="preserve">7. From the Inside: 4 Years of ERP Implementation Experience</w:t>
            </w:r>
          </w:p>
          <w:p>
            <w:pPr>
              <w:spacing w:after="60" w:before="0"/>
            </w:pPr>
            <w:r>
              <w:rPr>
                <w:rFonts w:ascii="Arial" w:cs="Arial" w:eastAsia="Arial" w:hAnsi="Arial"/>
                <w:color w:val="333333"/>
                <w:sz w:val="22"/>
                <w:szCs w:val="22"/>
              </w:rPr>
              <w:t xml:space="preserve">I spent four years inside live PeopleSoft FSCM ERP environments at NTT DATA, supporting Fortune 500 clients through production support, release cycles, and system upgrades.</w:t>
            </w:r>
          </w:p>
          <w:p>
            <w:pPr>
              <w:spacing w:after="60" w:before="0"/>
            </w:pPr>
            <w:r>
              <w:rPr>
                <w:rFonts w:ascii="Arial" w:cs="Arial" w:eastAsia="Arial" w:hAnsi="Arial"/>
                <w:color w:val="333333"/>
                <w:sz w:val="22"/>
                <w:szCs w:val="22"/>
              </w:rPr>
              <w:t xml:space="preserve"/>
            </w:r>
          </w:p>
          <w:p>
            <w:pPr>
              <w:spacing w:after="60" w:before="0"/>
            </w:pPr>
            <w:r>
              <w:rPr>
                <w:rFonts w:ascii="Arial" w:cs="Arial" w:eastAsia="Arial" w:hAnsi="Arial"/>
                <w:color w:val="333333"/>
                <w:sz w:val="22"/>
                <w:szCs w:val="22"/>
              </w:rPr>
              <w:t xml:space="preserve">The root cause I recognize most clearly in the Revlon failure is Root Cause #2 — the assumption that trained end users will figure it out under pressure. In my experience, the most dangerous moment in any ERP deployment is the first two weeks after go-live. That is when the gap between how users were trained and how the system actually behaves under real operational conditions becomes visible. Revlon's warehouse staff were not prepared to navigate SAP at full production speed — and when the cracks appeared, the legacy system had already been decommissioned.</w:t>
            </w:r>
          </w:p>
          <w:p>
            <w:pPr>
              <w:spacing w:after="60" w:before="0"/>
            </w:pPr>
            <w:r>
              <w:rPr>
                <w:rFonts w:ascii="Arial" w:cs="Arial" w:eastAsia="Arial" w:hAnsi="Arial"/>
                <w:color w:val="333333"/>
                <w:sz w:val="22"/>
                <w:szCs w:val="22"/>
              </w:rPr>
              <w:t xml:space="preserve"/>
            </w:r>
          </w:p>
          <w:p>
            <w:pPr>
              <w:spacing w:after="60" w:before="0"/>
            </w:pPr>
            <w:r>
              <w:rPr>
                <w:rFonts w:ascii="Arial" w:cs="Arial" w:eastAsia="Arial" w:hAnsi="Arial"/>
                <w:color w:val="333333"/>
                <w:sz w:val="22"/>
                <w:szCs w:val="22"/>
              </w:rPr>
              <w:t xml:space="preserve">The second insight I take from this case is how systematically data quality is underestimated. In every implementation I worked on, data migration was the most consistently understaffed workstream. Organizations treat it as a technical ETL exercise. It is not. It is a business problem that requires business owners, reconciliation checkpoints, and sign-off from the people who will operate the system — not just the people who built it.</w:t>
            </w:r>
          </w:p>
        </w:tc>
      </w:tr>
    </w:tbl>
    <w:p>
      <w:pPr>
        <w:spacing w:after="160" w:before="0"/>
      </w:pPr>
    </w:p>
    <w:p>
      <w:pPr>
        <w:pBdr>
          <w:bottom w:val="single" w:color="CCCCCC" w:sz="2" w:space="1"/>
        </w:pBdr>
        <w:spacing w:after="240" w:before="240"/>
      </w:pPr>
    </w:p>
    <w:p>
      <w:pPr>
        <w:spacing w:after="80" w:before="160"/>
      </w:pPr>
      <w:r>
        <w:rPr>
          <w:rFonts w:ascii="Arial" w:cs="Arial" w:eastAsia="Arial" w:hAnsi="Arial"/>
          <w:b/>
          <w:bCs/>
          <w:color w:val="1a3a5c"/>
          <w:sz w:val="22"/>
          <w:szCs w:val="22"/>
        </w:rPr>
        <w:t xml:space="preserve">About This Analysis</w:t>
      </w:r>
    </w:p>
    <w:p>
      <w:pPr>
        <w:spacing w:after="80" w:before="80"/>
      </w:pPr>
      <w:r>
        <w:rPr>
          <w:rFonts w:ascii="Arial" w:cs="Arial" w:eastAsia="Arial" w:hAnsi="Arial"/>
          <w:color w:val="333333"/>
          <w:sz w:val="22"/>
          <w:szCs w:val="22"/>
        </w:rPr>
        <w:t xml:space="preserve">This case study was produced as part of a strategic consulting portfolio demonstrating structured problem-solving, root cause analysis, and enterprise transformation expertise. Research drawn from public court filings, investor reports, and industry analysis (Panorama Consulting, Third Stage Consulting, Computer Weekly, TechTarget, HenricoDolfing.com).</w:t>
      </w:r>
    </w:p>
    <w:p>
      <w:pPr>
        <w:spacing w:after="80" w:before="0"/>
      </w:pPr>
    </w:p>
    <w:p>
      <w:r>
        <w:rPr>
          <w:rFonts w:ascii="Arial" w:cs="Arial" w:eastAsia="Arial" w:hAnsi="Arial"/>
          <w:color w:val="666666"/>
          <w:sz w:val="22"/>
          <w:szCs w:val="22"/>
        </w:rPr>
        <w:t xml:space="preserve">Payal Jarviya  |  MBA Candidate, SKK GSB Seoul  |  </w:t>
      </w:r>
      <w:hyperlink w:history="1" r:id="rIdfh0_cpxs81jshfv1swi29">
        <w:r>
          <w:rPr>
            <w:rFonts w:ascii="Arial" w:cs="Arial" w:eastAsia="Arial" w:hAnsi="Arial"/>
            <w:color w:val="2E75B6"/>
            <w:sz w:val="22"/>
            <w:szCs w:val="22"/>
          </w:rPr>
          <w:t xml:space="preserve">LinkedIn</w:t>
        </w:r>
      </w:hyperlink>
      <w:r>
        <w:rPr>
          <w:rFonts w:ascii="Arial" w:cs="Arial" w:eastAsia="Arial" w:hAnsi="Arial"/>
          <w:color w:val="666666"/>
          <w:sz w:val="22"/>
          <w:szCs w:val="22"/>
        </w:rPr>
        <w:t xml:space="preserve">  |  </w:t>
      </w:r>
      <w:hyperlink w:history="1" r:id="rIdw5ed0sw6wa3qzwjmzsrlq">
        <w:r>
          <w:rPr>
            <w:rFonts w:ascii="Arial" w:cs="Arial" w:eastAsia="Arial" w:hAnsi="Arial"/>
            <w:color w:val="2E75B6"/>
            <w:sz w:val="22"/>
            <w:szCs w:val="22"/>
          </w:rPr>
          <w:t xml:space="preserve">payaljarviya.github.io</w:t>
        </w:r>
      </w:hyperlink>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Payal Jarviya | MBA Candidate, SKK GSB Seoul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color w:val="666666"/>
        <w:sz w:val="18"/>
        <w:szCs w:val="18"/>
      </w:rPr>
      <w:t xml:space="preserve">ERP Implementation Risk Analysis: Revlon Case Study  |  Payal Jarviya | SKK GSB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fh0_cpxs81jshfv1swi29" Type="http://schemas.openxmlformats.org/officeDocument/2006/relationships/hyperlink" Target="https://www.linkedin.com/in/payal-jarviya/" TargetMode="External"/><Relationship Id="rIdw5ed0sw6wa3qzwjmzsrlq" Type="http://schemas.openxmlformats.org/officeDocument/2006/relationships/hyperlink" Target="https://payaljarviya.github.io"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2026-06-07T17:02:03.600Z</dcterms:created>
  <dcterms:modified xsi:type="dcterms:W3CDTF">2026-06-07T17:02:03.600Z</dcterms:modified>
</cp:coreProperties>
</file>

<file path=docProps/custom.xml><?xml version="1.0" encoding="utf-8"?>
<Properties xmlns="http://schemas.openxmlformats.org/officeDocument/2006/custom-properties" xmlns:vt="http://schemas.openxmlformats.org/officeDocument/2006/docPropsVTypes"/>
</file>