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20"/>
        <w:jc w:val="center"/>
      </w:pPr>
      <w:r>
        <w:rPr>
          <w:rFonts w:ascii="Arial" w:cs="Arial" w:eastAsia="Arial" w:hAnsi="Arial"/>
          <w:b/>
          <w:bCs/>
          <w:color w:val="2E86C1"/>
          <w:sz w:val="24"/>
          <w:szCs w:val="24"/>
        </w:rPr>
        <w:t xml:space="preserve">WHITE PAPER</w:t>
      </w:r>
    </w:p>
    <w:p>
      <w:pPr>
        <w:spacing w:before="0" w:after="120"/>
        <w:jc w:val="center"/>
      </w:pPr>
      <w:r>
        <w:rPr>
          <w:rFonts w:ascii="Arial" w:cs="Arial" w:eastAsia="Arial" w:hAnsi="Arial"/>
          <w:b/>
          <w:bCs/>
          <w:color w:val="1B4F8A"/>
          <w:sz w:val="60"/>
          <w:szCs w:val="60"/>
        </w:rPr>
        <w:t xml:space="preserve">PeopleSoft to Cloud ERP</w:t>
      </w:r>
    </w:p>
    <w:p>
      <w:pPr>
        <w:spacing w:before="0" w:after="280"/>
        <w:jc w:val="center"/>
      </w:pPr>
      <w:r>
        <w:rPr>
          <w:rFonts w:ascii="Arial" w:cs="Arial" w:eastAsia="Arial" w:hAnsi="Arial"/>
          <w:b/>
          <w:bCs/>
          <w:color w:val="1A1A2E"/>
          <w:sz w:val="34"/>
          <w:szCs w:val="34"/>
        </w:rPr>
        <w:t xml:space="preserve">A Migration Framework for Mid-Size Enterprises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200"/>
              <w:left w:type="dxa" w:w="300"/>
              <w:bottom w:type="dxa" w:w="200"/>
              <w:right w:type="dxa" w:w="300"/>
            </w:tcMar>
          </w:tcPr>
          <w:p>
            <w:pPr>
              <w:spacing w:before="0" w:after="80"/>
              <w:jc w:val="center"/>
            </w:pPr>
            <w:r>
              <w:rPr>
                <w:rFonts w:ascii="Arial" w:cs="Arial" w:eastAsia="Arial" w:hAnsi="Arial"/>
                <w:b/>
                <w:bCs/>
                <w:color w:val="1A1A2E"/>
                <w:sz w:val="26"/>
                <w:szCs w:val="26"/>
              </w:rPr>
              <w:t xml:space="preserve">Payal Devendra Jarviya</w:t>
            </w:r>
          </w:p>
          <w:p>
            <w:pPr>
              <w:spacing w:before="0" w:after="40"/>
              <w:jc w:val="center"/>
            </w:pPr>
            <w:r>
              <w:rPr>
                <w:rFonts w:ascii="Arial" w:cs="Arial" w:eastAsia="Arial" w:hAnsi="Arial"/>
                <w:color w:val="666666"/>
                <w:sz w:val="21"/>
                <w:szCs w:val="21"/>
              </w:rPr>
              <w:t xml:space="preserve">MBA Candidate | SKKU Graduate School of Business, Seoul, South Korea</w:t>
            </w:r>
          </w:p>
          <w:p>
            <w:pPr>
              <w:spacing w:before="0" w:after="40"/>
              <w:jc w:val="center"/>
            </w:pPr>
            <w:r>
              <w:rPr>
                <w:rFonts w:ascii="Arial" w:cs="Arial" w:eastAsia="Arial" w:hAnsi="Arial"/>
                <w:color w:val="666666"/>
                <w:sz w:val="21"/>
                <w:szCs w:val="21"/>
              </w:rPr>
              <w:t xml:space="preserve">Former IT Analyst | NTT DATA North America | PeopleSoft Oracle Practice (4 Years)</w:t>
            </w:r>
          </w:p>
          <w:p>
            <w:pPr>
              <w:jc w:val="center"/>
            </w:pPr>
            <w:r>
              <w:rPr>
                <w:rFonts w:ascii="Arial" w:cs="Arial" w:eastAsia="Arial" w:hAnsi="Arial"/>
                <w:color w:val="2E86C1"/>
                <w:sz w:val="21"/>
                <w:szCs w:val="21"/>
              </w:rPr>
              <w:t xml:space="preserve">linkedin.com/in/payal-jarviya  |  2025</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pPr>
              <w:spacing w:before="0" w:after="40"/>
            </w:pPr>
            <w:r>
              <w:rPr>
                <w:rFonts w:ascii="Arial" w:cs="Arial" w:eastAsia="Arial" w:hAnsi="Arial"/>
                <w:b/>
                <w:bCs/>
                <w:color w:val="1B4F8A"/>
                <w:sz w:val="18"/>
                <w:szCs w:val="18"/>
              </w:rPr>
              <w:t xml:space="preserve">Topic</w:t>
            </w:r>
          </w:p>
          <w:p>
            <w:r>
              <w:rPr>
                <w:rFonts w:ascii="Arial" w:cs="Arial" w:eastAsia="Arial" w:hAnsi="Arial"/>
                <w:color w:val="444444"/>
                <w:sz w:val="18"/>
                <w:szCs w:val="18"/>
              </w:rPr>
              <w:t xml:space="preserve">ERP Migration &amp; Cloud Strategy</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pPr>
              <w:spacing w:before="0" w:after="40"/>
            </w:pPr>
            <w:r>
              <w:rPr>
                <w:rFonts w:ascii="Arial" w:cs="Arial" w:eastAsia="Arial" w:hAnsi="Arial"/>
                <w:b/>
                <w:bCs/>
                <w:color w:val="1B4F8A"/>
                <w:sz w:val="18"/>
                <w:szCs w:val="18"/>
              </w:rPr>
              <w:t xml:space="preserve">Industry</w:t>
            </w:r>
          </w:p>
          <w:p>
            <w:r>
              <w:rPr>
                <w:rFonts w:ascii="Arial" w:cs="Arial" w:eastAsia="Arial" w:hAnsi="Arial"/>
                <w:color w:val="444444"/>
                <w:sz w:val="18"/>
                <w:szCs w:val="18"/>
              </w:rPr>
              <w:t xml:space="preserve">Enterprise Technology / Consulting</w:t>
            </w:r>
          </w:p>
        </w:tc>
        <w:tc>
          <w:tcPr>
            <w:tcW w:type="dxa" w:w="312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pPr>
              <w:spacing w:before="0" w:after="40"/>
            </w:pPr>
            <w:r>
              <w:rPr>
                <w:rFonts w:ascii="Arial" w:cs="Arial" w:eastAsia="Arial" w:hAnsi="Arial"/>
                <w:b/>
                <w:bCs/>
                <w:color w:val="1B4F8A"/>
                <w:sz w:val="18"/>
                <w:szCs w:val="18"/>
              </w:rPr>
              <w:t xml:space="preserve">Audience</w:t>
            </w:r>
          </w:p>
          <w:p>
            <w:r>
              <w:rPr>
                <w:rFonts w:ascii="Arial" w:cs="Arial" w:eastAsia="Arial" w:hAnsi="Arial"/>
                <w:color w:val="444444"/>
                <w:sz w:val="18"/>
                <w:szCs w:val="18"/>
              </w:rPr>
              <w:t xml:space="preserve">IT Leaders, CFOs, Operations Directors</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Section</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Page</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Executive Summary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3</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1.  The Case for Migration</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4</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2.  Pre-Migration Assessment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5</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3.  The Migration Framework</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7</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4.  Cost-Benefit Analysis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11</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5.  Real-World Case References</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13</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6.  Risk Management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14</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7.  Success Metrics</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15</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8.  Tools and Technology Guide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16</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   8.1  Cloud ERP Vendor Comparison</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   8.2  Oracle's Official Migration Tools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   8.3  Additional Migration Tools</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   8.4  Oracle Certified Partners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   8.5  Additional Third-Party Tools</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9.  Conclusion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22</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Glossary of ERP Terms</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23</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Appendix A: Readiness Assessment Template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19</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Appendix B: Fit-Gap Analysis Template</w:t>
            </w:r>
          </w:p>
        </w:tc>
        <w:tc>
          <w:tcPr>
            <w:tcW w:type="dxa" w:w="43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20</w:t>
            </w:r>
          </w:p>
        </w:tc>
      </w:tr>
      <w:tr>
        <w:tc>
          <w:tcPr>
            <w:tcW w:type="dxa" w:w="50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Appendix C: UAT Sign-Off Template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21</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Executive Summary</w:t>
      </w:r>
    </w:p>
    <w:p>
      <w:pPr>
        <w:spacing w:before="60" w:after="80"/>
        <w:jc w:val="left"/>
      </w:pPr>
      <w:r>
        <w:rPr>
          <w:rFonts w:ascii="Arial" w:cs="Arial" w:eastAsia="Arial" w:hAnsi="Arial"/>
          <w:b w:val="false"/>
          <w:bCs w:val="false"/>
          <w:i w:val="false"/>
          <w:iCs w:val="false"/>
          <w:color w:val="444444"/>
          <w:sz w:val="22"/>
          <w:szCs w:val="22"/>
        </w:rPr>
        <w:t xml:space="preserve">Many mid-size enterprises continue to rely on legacy PeopleSoft ERP systems implemented a decade or more ago. While these systems remain functional, they increasingly struggle to meet modern business demands: real-time analytics, remote accessibility, scalability, and AI integration.</w:t>
      </w:r>
    </w:p>
    <w:p>
      <w:pPr>
        <w:spacing w:before="60" w:after="0"/>
      </w:pPr>
      <w:r>
        <w:t xml:space="preserve"/>
      </w:r>
    </w:p>
    <w:p>
      <w:pPr>
        <w:spacing w:before="60" w:after="80"/>
        <w:jc w:val="left"/>
      </w:pPr>
      <w:r>
        <w:rPr>
          <w:rFonts w:ascii="Arial" w:cs="Arial" w:eastAsia="Arial" w:hAnsi="Arial"/>
          <w:b w:val="false"/>
          <w:bCs w:val="false"/>
          <w:i w:val="false"/>
          <w:iCs w:val="false"/>
          <w:color w:val="444444"/>
          <w:sz w:val="22"/>
          <w:szCs w:val="22"/>
        </w:rPr>
        <w:t xml:space="preserve">This white paper provides a structured, practical framework for migrating from on-premise PeopleSoft to modern cloud ERP. It is designed specifically for mid-size enterprises with limited IT budgets, lean transformation teams, and complex stakeholder environments.</w:t>
      </w:r>
    </w:p>
    <w:p>
      <w:pPr>
        <w:spacing w:before="60" w:after="0"/>
      </w:pPr>
      <w:r>
        <w:t xml:space="preserve"/>
      </w:r>
    </w:p>
    <w:p>
      <w:pPr>
        <w:spacing w:before="60" w:after="80"/>
        <w:jc w:val="left"/>
      </w:pPr>
      <w:r>
        <w:rPr>
          <w:rFonts w:ascii="Arial" w:cs="Arial" w:eastAsia="Arial" w:hAnsi="Arial"/>
          <w:b w:val="false"/>
          <w:bCs w:val="false"/>
          <w:i w:val="false"/>
          <w:iCs w:val="false"/>
          <w:color w:val="444444"/>
          <w:sz w:val="22"/>
          <w:szCs w:val="22"/>
        </w:rPr>
        <w:t xml:space="preserve">Drawing on four years of hands-on PeopleSoft consulting experience at NTT DATA North America, this framework addresses the full migration lifecycle from readiness assessment through to post-migration optimisation.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00"/>
              <w:bottom w:type="dxa" w:w="160"/>
              <w:right w:type="dxa" w:w="200"/>
            </w:tcMar>
          </w:tcPr>
          <w:p>
            <w:pPr>
              <w:spacing w:before="0" w:after="80"/>
            </w:pPr>
            <w:r>
              <w:rPr>
                <w:rFonts w:ascii="Arial" w:cs="Arial" w:eastAsia="Arial" w:hAnsi="Arial"/>
                <w:b/>
                <w:bCs/>
                <w:color w:val="1B4F8A"/>
                <w:sz w:val="22"/>
                <w:szCs w:val="22"/>
              </w:rPr>
              <w:t xml:space="preserve">Key Findings</w:t>
            </w:r>
          </w:p>
          <w:p>
            <w:pPr>
              <w:spacing w:before="30" w:after="30"/>
            </w:pPr>
            <w:r>
              <w:rPr>
                <w:rFonts w:ascii="Arial" w:cs="Arial" w:eastAsia="Arial" w:hAnsi="Arial"/>
                <w:color w:val="1A1A2E"/>
                <w:sz w:val="21"/>
                <w:szCs w:val="21"/>
              </w:rPr>
              <w:t xml:space="preserve">Global cloud ERP market projected to reach USD 40.5 billion by 2025, growing at 13.6% CAGR (Gartner, 2024).</w:t>
            </w:r>
          </w:p>
          <w:p>
            <w:pPr>
              <w:spacing w:before="30" w:after="30"/>
            </w:pPr>
            <w:r>
              <w:rPr>
                <w:rFonts w:ascii="Arial" w:cs="Arial" w:eastAsia="Arial" w:hAnsi="Arial"/>
                <w:color w:val="1A1A2E"/>
                <w:sz w:val="21"/>
                <w:szCs w:val="21"/>
              </w:rPr>
              <w:t xml:space="preserve">Mid-size enterprises migrating to cloud ERP report an average 25 to 30% reduction in IT infrastructure costs within 2 years.</w:t>
            </w:r>
          </w:p>
          <w:p>
            <w:pPr>
              <w:spacing w:before="30" w:after="30"/>
            </w:pPr>
            <w:r>
              <w:rPr>
                <w:rFonts w:ascii="Arial" w:cs="Arial" w:eastAsia="Arial" w:hAnsi="Arial"/>
                <w:color w:val="1A1A2E"/>
                <w:sz w:val="21"/>
                <w:szCs w:val="21"/>
              </w:rPr>
              <w:t xml:space="preserve">70% of ERP migration failures are attributable to change management and people factors, not technical issues (McKinsey, 2023).</w:t>
            </w:r>
          </w:p>
          <w:p>
            <w:pPr>
              <w:spacing w:before="30" w:after="30"/>
            </w:pPr>
            <w:r>
              <w:rPr>
                <w:rFonts w:ascii="Arial" w:cs="Arial" w:eastAsia="Arial" w:hAnsi="Arial"/>
                <w:color w:val="1A1A2E"/>
                <w:sz w:val="21"/>
                <w:szCs w:val="21"/>
              </w:rPr>
              <w:t xml:space="preserve">Companies on on-premise PeopleSoft face average annual maintenance costs of USD 500K to USD 2M.</w:t>
            </w:r>
          </w:p>
          <w:p>
            <w:pPr>
              <w:spacing w:before="30" w:after="30"/>
            </w:pPr>
            <w:r>
              <w:rPr>
                <w:rFonts w:ascii="Arial" w:cs="Arial" w:eastAsia="Arial" w:hAnsi="Arial"/>
                <w:color w:val="1A1A2E"/>
                <w:sz w:val="21"/>
                <w:szCs w:val="21"/>
              </w:rPr>
              <w:t xml:space="preserve">Cloud ERP implementations deliver full ROI within 2.5 to 3 years on average for mid-size enterprises.</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1.  The Case for Migration</w:t>
      </w:r>
    </w:p>
    <w:p>
      <w:pPr>
        <w:pStyle w:val="Heading2"/>
        <w:spacing w:before="320" w:after="120"/>
      </w:pPr>
      <w:r>
        <w:rPr>
          <w:rFonts w:ascii="Arial" w:cs="Arial" w:eastAsia="Arial" w:hAnsi="Arial"/>
          <w:b/>
          <w:bCs/>
          <w:color w:val="1A1A2E"/>
          <w:sz w:val="26"/>
          <w:szCs w:val="26"/>
        </w:rPr>
        <w:t xml:space="preserve">1.1  Why PeopleSoft Enterprises Are at a Crossroads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Pressure Factor</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Vendor Direction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Oracle has shifted primary R&amp;D to Oracle Cloud Fusion. PeopleSoft receives security patches but minimal new functionality.</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Infrastructure Costs</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On-premise PeopleSoft requires dedicated servers, DBA resources, and ongoing patches. Annual costs: USD 500K to USD 2M for mid-size firms.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Integration Complexity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Modern enterprises need seamless integration with CRM, BI, and AI tools. PeopleSoft integrations are largely custom-built and brittle.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Talent Scarcity</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The pool of certified PeopleSoft consultants is shrinking. Cloud ERP skills are widely available.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Remote Accessibility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PeopleSoft was built for on-premise access. Post-pandemic hybrid work demands cloud-native, device-agnostic systems.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Reporting Limitations</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PeopleSoft reporting requires SQL or PS Query knowledge. Cloud ERPs offer self-service dashboards out of the box.</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1.2  Market Growth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80"/>
              <w:right w:type="dxa" w:w="0"/>
            </w:tcMar>
          </w:tcPr>
          <w:p>
            <w:r>
              <w:rPr>
                <w:rFonts w:ascii="Arial" w:cs="Arial" w:eastAsia="Arial" w:hAnsi="Arial"/>
                <w:b/>
                <w:bCs/>
                <w:color w:val="1A1A2E"/>
                <w:sz w:val="24"/>
                <w:szCs w:val="24"/>
              </w:rPr>
              <w:t xml:space="preserve">Cloud ERP Market Size (USD Billions)</w:t>
            </w:r>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716"/>
              <w:gridCol w:w="2284"/>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2020</w:t>
                  </w:r>
                </w:p>
              </w:tc>
              <w:tc>
                <w:tcPr>
                  <w:tcW w:type="dxa" w:w="2716"/>
                  <w:tcBorders>
                    <w:top w:val="none" w:color="FFFFFF" w:sz="0"/>
                    <w:left w:val="none" w:color="FFFFFF" w:sz="0"/>
                    <w:bottom w:val="none" w:color="FFFFFF" w:sz="0"/>
                    <w:right w:val="none" w:color="FFFFFF" w:sz="0"/>
                  </w:tcBorders>
                  <w:shd w:fill="AED6F1" w:val="clear"/>
                  <w:tcMar>
                    <w:top w:type="dxa" w:w="60"/>
                    <w:left w:type="dxa" w:w="0"/>
                    <w:bottom w:type="dxa" w:w="60"/>
                    <w:right w:type="dxa" w:w="0"/>
                  </w:tcMar>
                </w:tcPr>
                <w:p>
                  <w:r>
                    <w:rPr>
                      <w:rFonts w:ascii="Arial" w:cs="Arial" w:eastAsia="Arial" w:hAnsi="Arial"/>
                      <w:sz w:val="19"/>
                      <w:szCs w:val="19"/>
                    </w:rPr>
                    <w:t xml:space="preserve"/>
                  </w:r>
                </w:p>
              </w:tc>
              <w:tc>
                <w:tcPr>
                  <w:tcW w:type="dxa" w:w="2284"/>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$22B</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10"/>
              <w:gridCol w:w="1790"/>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2021</w:t>
                  </w:r>
                </w:p>
              </w:tc>
              <w:tc>
                <w:tcPr>
                  <w:tcW w:type="dxa" w:w="3210"/>
                  <w:tcBorders>
                    <w:top w:val="none" w:color="FFFFFF" w:sz="0"/>
                    <w:left w:val="none" w:color="FFFFFF" w:sz="0"/>
                    <w:bottom w:val="none" w:color="FFFFFF" w:sz="0"/>
                    <w:right w:val="none" w:color="FFFFFF" w:sz="0"/>
                  </w:tcBorders>
                  <w:shd w:fill="85C1E9" w:val="clear"/>
                  <w:tcMar>
                    <w:top w:type="dxa" w:w="60"/>
                    <w:left w:type="dxa" w:w="0"/>
                    <w:bottom w:type="dxa" w:w="60"/>
                    <w:right w:type="dxa" w:w="0"/>
                  </w:tcMar>
                </w:tcPr>
                <w:p>
                  <w:r>
                    <w:rPr>
                      <w:rFonts w:ascii="Arial" w:cs="Arial" w:eastAsia="Arial" w:hAnsi="Arial"/>
                      <w:sz w:val="19"/>
                      <w:szCs w:val="19"/>
                    </w:rPr>
                    <w:t xml:space="preserve"/>
                  </w:r>
                </w:p>
              </w:tc>
              <w:tc>
                <w:tcPr>
                  <w:tcW w:type="dxa" w:w="179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$26B</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704"/>
              <w:gridCol w:w="1296"/>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2022</w:t>
                  </w:r>
                </w:p>
              </w:tc>
              <w:tc>
                <w:tcPr>
                  <w:tcW w:type="dxa" w:w="3704"/>
                  <w:tcBorders>
                    <w:top w:val="none" w:color="FFFFFF" w:sz="0"/>
                    <w:left w:val="none" w:color="FFFFFF" w:sz="0"/>
                    <w:bottom w:val="none" w:color="FFFFFF" w:sz="0"/>
                    <w:right w:val="none" w:color="FFFFFF" w:sz="0"/>
                  </w:tcBorders>
                  <w:shd w:fill="5DADE2" w:val="clear"/>
                  <w:tcMar>
                    <w:top w:type="dxa" w:w="60"/>
                    <w:left w:type="dxa" w:w="0"/>
                    <w:bottom w:type="dxa" w:w="60"/>
                    <w:right w:type="dxa" w:w="0"/>
                  </w:tcMar>
                </w:tcPr>
                <w:p>
                  <w:r>
                    <w:rPr>
                      <w:rFonts w:ascii="Arial" w:cs="Arial" w:eastAsia="Arial" w:hAnsi="Arial"/>
                      <w:sz w:val="19"/>
                      <w:szCs w:val="19"/>
                    </w:rPr>
                    <w:t xml:space="preserve"/>
                  </w:r>
                </w:p>
              </w:tc>
              <w:tc>
                <w:tcPr>
                  <w:tcW w:type="dxa" w:w="129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$30B</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321"/>
              <w:gridCol w:w="679"/>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2023</w:t>
                  </w:r>
                </w:p>
              </w:tc>
              <w:tc>
                <w:tcPr>
                  <w:tcW w:type="dxa" w:w="4321"/>
                  <w:tcBorders>
                    <w:top w:val="none" w:color="FFFFFF" w:sz="0"/>
                    <w:left w:val="none" w:color="FFFFFF" w:sz="0"/>
                    <w:bottom w:val="none" w:color="FFFFFF" w:sz="0"/>
                    <w:right w:val="none" w:color="FFFFFF" w:sz="0"/>
                  </w:tcBorders>
                  <w:shd w:fill="2E86C1" w:val="clear"/>
                  <w:tcMar>
                    <w:top w:type="dxa" w:w="60"/>
                    <w:left w:type="dxa" w:w="0"/>
                    <w:bottom w:type="dxa" w:w="60"/>
                    <w:right w:type="dxa" w:w="0"/>
                  </w:tcMar>
                </w:tcPr>
                <w:p>
                  <w:r>
                    <w:rPr>
                      <w:rFonts w:ascii="Arial" w:cs="Arial" w:eastAsia="Arial" w:hAnsi="Arial"/>
                      <w:sz w:val="19"/>
                      <w:szCs w:val="19"/>
                    </w:rPr>
                    <w:t xml:space="preserve"/>
                  </w:r>
                </w:p>
              </w:tc>
              <w:tc>
                <w:tcPr>
                  <w:tcW w:type="dxa" w:w="679"/>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$35B</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691"/>
              <w:gridCol w:w="309"/>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2024</w:t>
                  </w:r>
                </w:p>
              </w:tc>
              <w:tc>
                <w:tcPr>
                  <w:tcW w:type="dxa" w:w="4691"/>
                  <w:tcBorders>
                    <w:top w:val="none" w:color="FFFFFF" w:sz="0"/>
                    <w:left w:val="none" w:color="FFFFFF" w:sz="0"/>
                    <w:bottom w:val="none" w:color="FFFFFF" w:sz="0"/>
                    <w:right w:val="none" w:color="FFFFFF" w:sz="0"/>
                  </w:tcBorders>
                  <w:shd w:fill="1A5276" w:val="clear"/>
                  <w:tcMar>
                    <w:top w:type="dxa" w:w="60"/>
                    <w:left w:type="dxa" w:w="0"/>
                    <w:bottom w:type="dxa" w:w="60"/>
                    <w:right w:type="dxa" w:w="0"/>
                  </w:tcMar>
                </w:tcPr>
                <w:p>
                  <w:r>
                    <w:rPr>
                      <w:rFonts w:ascii="Arial" w:cs="Arial" w:eastAsia="Arial" w:hAnsi="Arial"/>
                      <w:sz w:val="19"/>
                      <w:szCs w:val="19"/>
                    </w:rPr>
                    <w:t xml:space="preserve"/>
                  </w:r>
                </w:p>
              </w:tc>
              <w:tc>
                <w:tcPr>
                  <w:tcW w:type="dxa" w:w="309"/>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$38B</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00"/>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2025 (Projected)</w:t>
                  </w:r>
                </w:p>
              </w:tc>
              <w:tc>
                <w:tcPr>
                  <w:tcW w:type="dxa" w:w="5000"/>
                  <w:tcBorders>
                    <w:top w:val="none" w:color="FFFFFF" w:sz="0"/>
                    <w:left w:val="none" w:color="FFFFFF" w:sz="0"/>
                    <w:bottom w:val="none" w:color="FFFFFF" w:sz="0"/>
                    <w:right w:val="none" w:color="FFFFFF" w:sz="0"/>
                  </w:tcBorders>
                  <w:shd w:fill="1B4F8A" w:val="clear"/>
                  <w:tcMar>
                    <w:top w:type="dxa" w:w="60"/>
                    <w:left w:type="dxa" w:w="0"/>
                    <w:bottom w:type="dxa" w:w="60"/>
                    <w:right w:type="dxa" w:w="0"/>
                  </w:tcMar>
                </w:tcPr>
                <w:p>
                  <w:r>
                    <w:rPr>
                      <w:rFonts w:ascii="Arial" w:cs="Arial" w:eastAsia="Arial" w:hAnsi="Arial"/>
                      <w:sz w:val="19"/>
                      <w:szCs w:val="19"/>
                    </w:rPr>
                    <w:t xml:space="preserve"/>
                  </w:r>
                </w:p>
              </w:tc>
              <w:tc>
                <w:tcPr>
                  <w:tcW w:type="dxa" w:w="1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$40.5B</w:t>
                  </w:r>
                </w:p>
              </w:tc>
            </w:tr>
          </w:tbl>
          <w:p/>
        </w:tc>
      </w:tr>
    </w:tbl>
    <w:p>
      <w:pPr>
        <w:spacing w:before="40" w:after="0"/>
      </w:pPr>
      <w:r>
        <w:t xml:space="preserve"/>
      </w:r>
    </w:p>
    <w:p>
      <w:pPr>
        <w:spacing w:before="60" w:after="80"/>
        <w:jc w:val="left"/>
      </w:pPr>
      <w:r>
        <w:rPr>
          <w:rFonts w:ascii="Arial" w:cs="Arial" w:eastAsia="Arial" w:hAnsi="Arial"/>
          <w:b w:val="false"/>
          <w:bCs w:val="false"/>
          <w:i/>
          <w:iCs/>
          <w:color w:val="666666"/>
          <w:sz w:val="22"/>
          <w:szCs w:val="22"/>
        </w:rPr>
        <w:t xml:space="preserve">Source: Gartner Cloud ERP Market Guide, 2024</w:t>
      </w:r>
    </w:p>
    <w:p>
      <w:pPr>
        <w:spacing w:before="100" w:after="0"/>
      </w:pPr>
      <w:r>
        <w:t xml:space="preserve"/>
      </w:r>
    </w:p>
    <w:p>
      <w:pPr>
        <w:pStyle w:val="Heading2"/>
        <w:spacing w:before="320" w:after="120"/>
      </w:pPr>
      <w:r>
        <w:rPr>
          <w:rFonts w:ascii="Arial" w:cs="Arial" w:eastAsia="Arial" w:hAnsi="Arial"/>
          <w:b/>
          <w:bCs/>
          <w:color w:val="1A1A2E"/>
          <w:sz w:val="26"/>
          <w:szCs w:val="26"/>
        </w:rPr>
        <w:t xml:space="preserve">1.3  Expected Benefits Post-Migration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80"/>
              <w:right w:type="dxa" w:w="0"/>
            </w:tcMar>
          </w:tcPr>
          <w:p>
            <w:r>
              <w:rPr>
                <w:rFonts w:ascii="Arial" w:cs="Arial" w:eastAsia="Arial" w:hAnsi="Arial"/>
                <w:b/>
                <w:bCs/>
                <w:color w:val="1A1A2E"/>
                <w:sz w:val="24"/>
                <w:szCs w:val="24"/>
              </w:rPr>
              <w:t xml:space="preserve">Benefits Reported After Cloud ERP Migration (% of companies)</w:t>
            </w:r>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00"/>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Reduced IT infrastructure cost</w:t>
                  </w:r>
                </w:p>
              </w:tc>
              <w:tc>
                <w:tcPr>
                  <w:tcW w:type="dxa" w:w="5000"/>
                  <w:tcBorders>
                    <w:top w:val="none" w:color="FFFFFF" w:sz="0"/>
                    <w:left w:val="none" w:color="FFFFFF" w:sz="0"/>
                    <w:bottom w:val="none" w:color="FFFFFF" w:sz="0"/>
                    <w:right w:val="none" w:color="FFFFFF" w:sz="0"/>
                  </w:tcBorders>
                  <w:shd w:fill="1E8449" w:val="clear"/>
                  <w:tcMar>
                    <w:top w:type="dxa" w:w="60"/>
                    <w:left w:type="dxa" w:w="0"/>
                    <w:bottom w:type="dxa" w:w="60"/>
                    <w:right w:type="dxa" w:w="0"/>
                  </w:tcMar>
                </w:tcPr>
                <w:p>
                  <w:r>
                    <w:rPr>
                      <w:rFonts w:ascii="Arial" w:cs="Arial" w:eastAsia="Arial" w:hAnsi="Arial"/>
                      <w:sz w:val="19"/>
                      <w:szCs w:val="19"/>
                    </w:rPr>
                    <w:t xml:space="preserve"/>
                  </w:r>
                </w:p>
              </w:tc>
              <w:tc>
                <w:tcPr>
                  <w:tcW w:type="dxa" w:w="1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78%</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744"/>
              <w:gridCol w:w="256"/>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Improved reporting and analytics</w:t>
                  </w:r>
                </w:p>
              </w:tc>
              <w:tc>
                <w:tcPr>
                  <w:tcW w:type="dxa" w:w="4744"/>
                  <w:tcBorders>
                    <w:top w:val="none" w:color="FFFFFF" w:sz="0"/>
                    <w:left w:val="none" w:color="FFFFFF" w:sz="0"/>
                    <w:bottom w:val="none" w:color="FFFFFF" w:sz="0"/>
                    <w:right w:val="none" w:color="FFFFFF" w:sz="0"/>
                  </w:tcBorders>
                  <w:shd w:fill="27AE60" w:val="clear"/>
                  <w:tcMar>
                    <w:top w:type="dxa" w:w="60"/>
                    <w:left w:type="dxa" w:w="0"/>
                    <w:bottom w:type="dxa" w:w="60"/>
                    <w:right w:type="dxa" w:w="0"/>
                  </w:tcMar>
                </w:tcPr>
                <w:p>
                  <w:r>
                    <w:rPr>
                      <w:rFonts w:ascii="Arial" w:cs="Arial" w:eastAsia="Arial" w:hAnsi="Arial"/>
                      <w:sz w:val="19"/>
                      <w:szCs w:val="19"/>
                    </w:rPr>
                    <w:t xml:space="preserve"/>
                  </w:r>
                </w:p>
              </w:tc>
              <w:tc>
                <w:tcPr>
                  <w:tcW w:type="dxa" w:w="25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74%</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551"/>
              <w:gridCol w:w="449"/>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Faster deployment of new features</w:t>
                  </w:r>
                </w:p>
              </w:tc>
              <w:tc>
                <w:tcPr>
                  <w:tcW w:type="dxa" w:w="4551"/>
                  <w:tcBorders>
                    <w:top w:val="none" w:color="FFFFFF" w:sz="0"/>
                    <w:left w:val="none" w:color="FFFFFF" w:sz="0"/>
                    <w:bottom w:val="none" w:color="FFFFFF" w:sz="0"/>
                    <w:right w:val="none" w:color="FFFFFF" w:sz="0"/>
                  </w:tcBorders>
                  <w:shd w:fill="52BE80" w:val="clear"/>
                  <w:tcMar>
                    <w:top w:type="dxa" w:w="60"/>
                    <w:left w:type="dxa" w:w="0"/>
                    <w:bottom w:type="dxa" w:w="60"/>
                    <w:right w:type="dxa" w:w="0"/>
                  </w:tcMar>
                </w:tcPr>
                <w:p>
                  <w:r>
                    <w:rPr>
                      <w:rFonts w:ascii="Arial" w:cs="Arial" w:eastAsia="Arial" w:hAnsi="Arial"/>
                      <w:sz w:val="19"/>
                      <w:szCs w:val="19"/>
                    </w:rPr>
                    <w:t xml:space="preserve"/>
                  </w:r>
                </w:p>
              </w:tc>
              <w:tc>
                <w:tcPr>
                  <w:tcW w:type="dxa" w:w="449"/>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71%</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167"/>
              <w:gridCol w:w="833"/>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Better cross-team collaboration</w:t>
                  </w:r>
                </w:p>
              </w:tc>
              <w:tc>
                <w:tcPr>
                  <w:tcW w:type="dxa" w:w="4167"/>
                  <w:tcBorders>
                    <w:top w:val="none" w:color="FFFFFF" w:sz="0"/>
                    <w:left w:val="none" w:color="FFFFFF" w:sz="0"/>
                    <w:bottom w:val="none" w:color="FFFFFF" w:sz="0"/>
                    <w:right w:val="none" w:color="FFFFFF" w:sz="0"/>
                  </w:tcBorders>
                  <w:shd w:fill="7DCEA0" w:val="clear"/>
                  <w:tcMar>
                    <w:top w:type="dxa" w:w="60"/>
                    <w:left w:type="dxa" w:w="0"/>
                    <w:bottom w:type="dxa" w:w="60"/>
                    <w:right w:type="dxa" w:w="0"/>
                  </w:tcMar>
                </w:tcPr>
                <w:p>
                  <w:r>
                    <w:rPr>
                      <w:rFonts w:ascii="Arial" w:cs="Arial" w:eastAsia="Arial" w:hAnsi="Arial"/>
                      <w:sz w:val="19"/>
                      <w:szCs w:val="19"/>
                    </w:rPr>
                    <w:t xml:space="preserve"/>
                  </w:r>
                </w:p>
              </w:tc>
              <w:tc>
                <w:tcPr>
                  <w:tcW w:type="dxa" w:w="833"/>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65%</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038"/>
              <w:gridCol w:w="962"/>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Improved compliance and security</w:t>
                  </w:r>
                </w:p>
              </w:tc>
              <w:tc>
                <w:tcPr>
                  <w:tcW w:type="dxa" w:w="4038"/>
                  <w:tcBorders>
                    <w:top w:val="none" w:color="FFFFFF" w:sz="0"/>
                    <w:left w:val="none" w:color="FFFFFF" w:sz="0"/>
                    <w:bottom w:val="none" w:color="FFFFFF" w:sz="0"/>
                    <w:right w:val="none" w:color="FFFFFF" w:sz="0"/>
                  </w:tcBorders>
                  <w:shd w:fill="A9DFBF" w:val="clear"/>
                  <w:tcMar>
                    <w:top w:type="dxa" w:w="60"/>
                    <w:left w:type="dxa" w:w="0"/>
                    <w:bottom w:type="dxa" w:w="60"/>
                    <w:right w:type="dxa" w:w="0"/>
                  </w:tcMar>
                </w:tcPr>
                <w:p>
                  <w:r>
                    <w:rPr>
                      <w:rFonts w:ascii="Arial" w:cs="Arial" w:eastAsia="Arial" w:hAnsi="Arial"/>
                      <w:sz w:val="19"/>
                      <w:szCs w:val="19"/>
                    </w:rPr>
                    <w:t xml:space="preserve"/>
                  </w:r>
                </w:p>
              </w:tc>
              <w:tc>
                <w:tcPr>
                  <w:tcW w:type="dxa" w:w="962"/>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63%</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718"/>
              <w:gridCol w:w="1282"/>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Scalability without added infrastructure</w:t>
                  </w:r>
                </w:p>
              </w:tc>
              <w:tc>
                <w:tcPr>
                  <w:tcW w:type="dxa" w:w="3718"/>
                  <w:tcBorders>
                    <w:top w:val="none" w:color="FFFFFF" w:sz="0"/>
                    <w:left w:val="none" w:color="FFFFFF" w:sz="0"/>
                    <w:bottom w:val="none" w:color="FFFFFF" w:sz="0"/>
                    <w:right w:val="none" w:color="FFFFFF" w:sz="0"/>
                  </w:tcBorders>
                  <w:shd w:fill="D5F5E3" w:val="clear"/>
                  <w:tcMar>
                    <w:top w:type="dxa" w:w="60"/>
                    <w:left w:type="dxa" w:w="0"/>
                    <w:bottom w:type="dxa" w:w="60"/>
                    <w:right w:type="dxa" w:w="0"/>
                  </w:tcMar>
                </w:tcPr>
                <w:p>
                  <w:r>
                    <w:rPr>
                      <w:rFonts w:ascii="Arial" w:cs="Arial" w:eastAsia="Arial" w:hAnsi="Arial"/>
                      <w:sz w:val="19"/>
                      <w:szCs w:val="19"/>
                    </w:rPr>
                    <w:t xml:space="preserve"/>
                  </w:r>
                </w:p>
              </w:tc>
              <w:tc>
                <w:tcPr>
                  <w:tcW w:type="dxa" w:w="1282"/>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58%</w:t>
                  </w:r>
                </w:p>
              </w:tc>
            </w:tr>
          </w:tbl>
          <w:p/>
        </w:tc>
      </w:tr>
    </w:tbl>
    <w:p>
      <w:pPr>
        <w:spacing w:before="40" w:after="0"/>
      </w:pPr>
      <w:r>
        <w:t xml:space="preserve"/>
      </w:r>
    </w:p>
    <w:p>
      <w:pPr>
        <w:spacing w:before="60" w:after="80"/>
        <w:jc w:val="left"/>
      </w:pPr>
      <w:r>
        <w:rPr>
          <w:rFonts w:ascii="Arial" w:cs="Arial" w:eastAsia="Arial" w:hAnsi="Arial"/>
          <w:b w:val="false"/>
          <w:bCs w:val="false"/>
          <w:i/>
          <w:iCs/>
          <w:color w:val="666666"/>
          <w:sz w:val="22"/>
          <w:szCs w:val="22"/>
        </w:rPr>
        <w:t xml:space="preserve">Source: Panorama Consulting ERP Report, 2023</w:t>
      </w:r>
    </w:p>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2.  Pre-Migration Assessment</w:t>
      </w:r>
    </w:p>
    <w:p>
      <w:pPr>
        <w:pStyle w:val="Heading2"/>
        <w:spacing w:before="320" w:after="120"/>
      </w:pPr>
      <w:r>
        <w:rPr>
          <w:rFonts w:ascii="Arial" w:cs="Arial" w:eastAsia="Arial" w:hAnsi="Arial"/>
          <w:b/>
          <w:bCs/>
          <w:color w:val="1A1A2E"/>
          <w:sz w:val="26"/>
          <w:szCs w:val="26"/>
        </w:rPr>
        <w:t xml:space="preserve">2.1  Organisational Readiness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What to Assess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Process Documentation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Are current PeopleSoft business processes fully documented? Undocumented processes are a major migration risk.</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Data Quality</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What is the current state of master and transactional data? Duplicates, missing fields, and format issues must be resolved before migration.</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Stakeholder Alignment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 Finance, HR, Supply Chain, and IT leaders all support the migration? Misalignment at leadership level is the top cause of stalled projects.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IT Capability</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Does the internal team have cloud skills? Identify gaps early and plan for upskilling or external support.</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Budget Clarity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Is the full migration budget approved, including a 20% contingency buffer?</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Change Management Plan</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Who will own user adoption? Research shows technology is only 30% of ERP success.</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2.2  Common PeopleSoft Pain Points</w:t>
      </w:r>
    </w:p>
    <w:p>
      <w:pPr>
        <w:pStyle w:val="ListParagraph"/>
        <w:numPr>
          <w:ilvl w:val="0"/>
          <w:numId w:val="2"/>
        </w:numPr>
        <w:spacing w:before="40" w:after="40"/>
      </w:pPr>
      <w:r>
        <w:rPr>
          <w:rFonts w:ascii="Arial" w:cs="Arial" w:eastAsia="Arial" w:hAnsi="Arial"/>
          <w:color w:val="444444"/>
          <w:sz w:val="22"/>
          <w:szCs w:val="22"/>
        </w:rPr>
        <w:t xml:space="preserve">Heavily customised configurations that deviate from vanilla functionality, making cloud mapping complex</w:t>
      </w:r>
    </w:p>
    <w:p>
      <w:pPr>
        <w:pStyle w:val="ListParagraph"/>
        <w:numPr>
          <w:ilvl w:val="0"/>
          <w:numId w:val="2"/>
        </w:numPr>
        <w:spacing w:before="40" w:after="40"/>
      </w:pPr>
      <w:r>
        <w:rPr>
          <w:rFonts w:ascii="Arial" w:cs="Arial" w:eastAsia="Arial" w:hAnsi="Arial"/>
          <w:color w:val="444444"/>
          <w:sz w:val="22"/>
          <w:szCs w:val="22"/>
        </w:rPr>
        <w:t xml:space="preserve">Undocumented workarounds built around system limitations over years of operation</w:t>
      </w:r>
    </w:p>
    <w:p>
      <w:pPr>
        <w:pStyle w:val="ListParagraph"/>
        <w:numPr>
          <w:ilvl w:val="0"/>
          <w:numId w:val="2"/>
        </w:numPr>
        <w:spacing w:before="40" w:after="40"/>
      </w:pPr>
      <w:r>
        <w:rPr>
          <w:rFonts w:ascii="Arial" w:cs="Arial" w:eastAsia="Arial" w:hAnsi="Arial"/>
          <w:color w:val="444444"/>
          <w:sz w:val="22"/>
          <w:szCs w:val="22"/>
        </w:rPr>
        <w:t xml:space="preserve">Data inconsistencies between HR, Finance, and Supply Chain modules</w:t>
      </w:r>
    </w:p>
    <w:p>
      <w:pPr>
        <w:pStyle w:val="ListParagraph"/>
        <w:numPr>
          <w:ilvl w:val="0"/>
          <w:numId w:val="2"/>
        </w:numPr>
        <w:spacing w:before="40" w:after="40"/>
      </w:pPr>
      <w:r>
        <w:rPr>
          <w:rFonts w:ascii="Arial" w:cs="Arial" w:eastAsia="Arial" w:hAnsi="Arial"/>
          <w:color w:val="444444"/>
          <w:sz w:val="22"/>
          <w:szCs w:val="22"/>
        </w:rPr>
        <w:t xml:space="preserve">Shadow systems such as Excel trackers and Access databases filling PeopleSoft functionality gaps</w:t>
      </w:r>
    </w:p>
    <w:p>
      <w:pPr>
        <w:pStyle w:val="ListParagraph"/>
        <w:numPr>
          <w:ilvl w:val="0"/>
          <w:numId w:val="2"/>
        </w:numPr>
        <w:spacing w:before="40" w:after="40"/>
      </w:pPr>
      <w:r>
        <w:rPr>
          <w:rFonts w:ascii="Arial" w:cs="Arial" w:eastAsia="Arial" w:hAnsi="Arial"/>
          <w:color w:val="444444"/>
          <w:sz w:val="22"/>
          <w:szCs w:val="22"/>
        </w:rPr>
        <w:t xml:space="preserve">No data governance framework, resulting in duplicated or conflicting records</w:t>
      </w:r>
    </w:p>
    <w:p>
      <w:pPr>
        <w:pStyle w:val="ListParagraph"/>
        <w:numPr>
          <w:ilvl w:val="0"/>
          <w:numId w:val="2"/>
        </w:numPr>
        <w:spacing w:before="40" w:after="40"/>
      </w:pPr>
      <w:r>
        <w:rPr>
          <w:rFonts w:ascii="Arial" w:cs="Arial" w:eastAsia="Arial" w:hAnsi="Arial"/>
          <w:color w:val="444444"/>
          <w:sz w:val="22"/>
          <w:szCs w:val="22"/>
        </w:rPr>
        <w:t xml:space="preserve">Institutional knowledge existing only in the minds of long-tenured staff with no documentation</w:t>
      </w:r>
    </w:p>
    <w:p>
      <w:pPr>
        <w:spacing w:before="100" w:after="0"/>
      </w:pPr>
      <w:r>
        <w:t xml:space="preserve"/>
      </w:r>
    </w:p>
    <w:p>
      <w:pPr>
        <w:pStyle w:val="Heading2"/>
        <w:spacing w:before="320" w:after="120"/>
      </w:pPr>
      <w:r>
        <w:rPr>
          <w:rFonts w:ascii="Arial" w:cs="Arial" w:eastAsia="Arial" w:hAnsi="Arial"/>
          <w:b/>
          <w:bCs/>
          <w:color w:val="1A1A2E"/>
          <w:sz w:val="26"/>
          <w:szCs w:val="26"/>
        </w:rPr>
        <w:t xml:space="preserve">2.3  Oracle's Two Official Migration Paths to OCI</w:t>
      </w:r>
    </w:p>
    <w:p>
      <w:pPr>
        <w:spacing w:before="60" w:after="80"/>
        <w:jc w:val="left"/>
      </w:pPr>
      <w:r>
        <w:rPr>
          <w:rFonts w:ascii="Arial" w:cs="Arial" w:eastAsia="Arial" w:hAnsi="Arial"/>
          <w:b w:val="false"/>
          <w:bCs w:val="false"/>
          <w:i w:val="false"/>
          <w:iCs w:val="false"/>
          <w:color w:val="444444"/>
          <w:sz w:val="22"/>
          <w:szCs w:val="22"/>
        </w:rPr>
        <w:t xml:space="preserve">Oracle officially supports two distinct migration paths for PeopleSoft to Oracle Cloud Infrastructure (OCI). The correct path depends on the organisation's current PeopleSoft version and must be determined in Phase 1 before any other planning begins.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00"/>
              <w:bottom w:type="dxa" w:w="160"/>
              <w:right w:type="dxa" w:w="200"/>
            </w:tcMar>
          </w:tcPr>
          <w:p>
            <w:pPr>
              <w:spacing w:before="0" w:after="80"/>
            </w:pPr>
            <w:r>
              <w:rPr>
                <w:rFonts w:ascii="Arial" w:cs="Arial" w:eastAsia="Arial" w:hAnsi="Arial"/>
                <w:b/>
                <w:bCs/>
                <w:color w:val="1B4F8A"/>
                <w:sz w:val="22"/>
                <w:szCs w:val="22"/>
              </w:rPr>
              <w:t xml:space="preserve">Migration Path Decision: How to Choose</w:t>
            </w:r>
          </w:p>
          <w:p>
            <w:pPr>
              <w:spacing w:before="30" w:after="30"/>
            </w:pPr>
            <w:r>
              <w:rPr>
                <w:rFonts w:ascii="Arial" w:cs="Arial" w:eastAsia="Arial" w:hAnsi="Arial"/>
                <w:color w:val="1A1A2E"/>
                <w:sz w:val="21"/>
                <w:szCs w:val="21"/>
              </w:rPr>
              <w:t xml:space="preserve">STEP 1: Identify your current PeopleSoft application release and PeopleTools release.</w:t>
            </w:r>
          </w:p>
          <w:p>
            <w:pPr>
              <w:spacing w:before="30" w:after="30"/>
            </w:pPr>
            <w:r>
              <w:rPr>
                <w:rFonts w:ascii="Arial" w:cs="Arial" w:eastAsia="Arial" w:hAnsi="Arial"/>
                <w:color w:val="1A1A2E"/>
                <w:sz w:val="21"/>
                <w:szCs w:val="21"/>
              </w:rPr>
              <w:t xml:space="preserve">STEP 2: On PeopleSoft 9.2 AND PeopleTools 8.58 or later? Use Path A: PeopleSoft Cloud Manager.</w:t>
            </w:r>
          </w:p>
          <w:p>
            <w:pPr>
              <w:spacing w:before="30" w:after="30"/>
            </w:pPr>
            <w:r>
              <w:rPr>
                <w:rFonts w:ascii="Arial" w:cs="Arial" w:eastAsia="Arial" w:hAnsi="Arial"/>
                <w:color w:val="1A1A2E"/>
                <w:sz w:val="21"/>
                <w:szCs w:val="21"/>
              </w:rPr>
              <w:t xml:space="preserve">STEP 3: On PeopleSoft 9.1 or earlier? Use Path B: Manual Migration to OCI.</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Source: Oracle Cloud Migration Guide for PeopleSoft (oracle.com/cloud/migration/peoplesoft)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Path A: PeopleSoft Cloud Manager</w:t>
            </w:r>
          </w:p>
        </w:tc>
        <w:tc>
          <w:tcPr>
            <w:tcW w:type="dxa" w:w="36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Path B: Manual Migration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B4F8A"/>
                <w:sz w:val="19"/>
                <w:szCs w:val="19"/>
              </w:rPr>
              <w:t xml:space="preserve">Eligibility</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PeopleSoft 9.2 and PeopleTools 8.58 or later</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PeopleSoft 9.1 or earlier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B4F8A"/>
                <w:sz w:val="19"/>
                <w:szCs w:val="19"/>
              </w:rPr>
              <w:t xml:space="preserve">What It 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Application-aware tool built by Oracle to migrate, deploy, and manage PeopleSoft on OCI. Automates migration and post-migration configuration.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Manual deployment of PeopleSoft on OCI-supported operating systems. Requires hands-on technical execution without automated tooling.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B4F8A"/>
                <w:sz w:val="19"/>
                <w:szCs w:val="19"/>
              </w:rPr>
              <w:t xml:space="preserve">Configuration Changes Required</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Minimal. Migrates the existing environment with minimal configuration, integration, or business process changes.</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Moderate to significant. Manual migration requires careful technical planning and may need reconfiguration of integrations and OS-level settings.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B4F8A"/>
                <w:sz w:val="19"/>
                <w:szCs w:val="19"/>
              </w:rPr>
              <w:t xml:space="preserve">Business Process Impact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Very low. Organisations keep the PeopleSoft they know while gaining OCI infrastructure benefits.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Depends on scope. If upgrading PeopleSoft version alongside migration, business process changes may be required.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B4F8A"/>
                <w:sz w:val="19"/>
                <w:szCs w:val="19"/>
              </w:rPr>
              <w:t xml:space="preserve">Zero Downtime Migration</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Supported via Oracle Zero Downtime Migration (ZDM) tool.</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Supported via Oracle Zero Downtime Migration (ZDM) tool.</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B4F8A"/>
                <w:sz w:val="19"/>
                <w:szCs w:val="19"/>
              </w:rPr>
              <w:t xml:space="preserve">Oracle Resources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PeopleSoft Cloud Manager Guide at docs.oracle.com/cd/E52319_01/infoportal/cloudmgr.html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Migrate PeopleSoft to OCI Playbook at docs.oracle.com/en/solutions/learn-migrate-peoplesoft-oci</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50"/>
              <w:bottom w:type="dxa" w:w="80"/>
              <w:right w:type="dxa" w:w="150"/>
            </w:tcMar>
          </w:tcPr>
          <w:p>
            <w:r>
              <w:rPr>
                <w:rFonts w:ascii="Arial" w:cs="Arial" w:eastAsia="Arial" w:hAnsi="Arial"/>
                <w:b/>
                <w:bCs/>
                <w:color w:val="1B4F8A"/>
                <w:sz w:val="19"/>
                <w:szCs w:val="19"/>
              </w:rPr>
              <w:t xml:space="preserve">Certified Oracle Partners</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TCS, Accenture, Capgemini, DXC Technology, Kyndryl, Mythics, Astute Business Solutions, Iteprof</w:t>
            </w:r>
          </w:p>
        </w:tc>
        <w:tc>
          <w:tcPr>
            <w:tcW w:type="dxa" w:w="36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TCS, Accenture, Capgemini, DXC Technology, Kyndryl, Mythics, Astute Business Solutions, Iteprof</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19"/>
                <w:szCs w:val="19"/>
              </w:rPr>
              <w:t xml:space="preserve">Recommendation</w:t>
            </w:r>
          </w:p>
        </w:tc>
        <w:tc>
          <w:tcPr>
            <w:tcW w:type="dxa" w:w="368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19"/>
                <w:szCs w:val="19"/>
              </w:rPr>
              <w:t xml:space="preserve">PREFERRED PATH. Faster, lower risk, less disruptive for organisations on supported versions.</w:t>
            </w:r>
          </w:p>
        </w:tc>
        <w:tc>
          <w:tcPr>
            <w:tcW w:type="dxa" w:w="368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19"/>
                <w:szCs w:val="19"/>
              </w:rPr>
              <w:t xml:space="preserve">Required for organisations on 9.1 or earlier. Consider upgrading to 9.2 first to unlock Cloud Manager benefits.</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2.4  Deployment Strategy</w:t>
      </w:r>
    </w:p>
    <w:p>
      <w:pPr>
        <w:spacing w:before="60" w:after="80"/>
        <w:jc w:val="left"/>
      </w:pPr>
      <w:r>
        <w:rPr>
          <w:rFonts w:ascii="Arial" w:cs="Arial" w:eastAsia="Arial" w:hAnsi="Arial"/>
          <w:b w:val="false"/>
          <w:bCs w:val="false"/>
          <w:i w:val="false"/>
          <w:iCs w:val="false"/>
          <w:color w:val="444444"/>
          <w:sz w:val="22"/>
          <w:szCs w:val="22"/>
        </w:rPr>
        <w:t xml:space="preserve">Independently of which Oracle migration path is chosen, organisations must also select a deployment strategy for how users transition to the new environment.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Strategy</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28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Risk Profile</w:t>
            </w:r>
          </w:p>
        </w:tc>
        <w:tc>
          <w:tcPr>
            <w:tcW w:type="dxa" w:w="28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Big Bang</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6 to 12 months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HIGH: Full cutover at once. Any failure affects entire organisation.</w:t>
            </w:r>
          </w:p>
        </w:tc>
        <w:tc>
          <w:tcPr>
            <w:tcW w:type="dxa" w:w="28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Smaller firms with simple processes and strong IT capability.</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19"/>
                <w:szCs w:val="19"/>
              </w:rPr>
              <w:t xml:space="preserve">Phased</w:t>
            </w:r>
          </w:p>
        </w:tc>
        <w:tc>
          <w:tcPr>
            <w:tcW w:type="dxa" w:w="1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val="false"/>
                <w:bCs w:val="false"/>
                <w:color w:val="1B4F8A"/>
                <w:sz w:val="19"/>
                <w:szCs w:val="19"/>
              </w:rPr>
              <w:t xml:space="preserve">12 to 24 months</w:t>
            </w:r>
          </w:p>
        </w:tc>
        <w:tc>
          <w:tcPr>
            <w:tcW w:type="dxa" w:w="288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val="false"/>
                <w:bCs w:val="false"/>
                <w:color w:val="1B4F8A"/>
                <w:sz w:val="19"/>
                <w:szCs w:val="19"/>
              </w:rPr>
              <w:t xml:space="preserve">MEDIUM: Migrate module by module. Issues contained to one area. RECOMMENDED.</w:t>
            </w:r>
          </w:p>
        </w:tc>
        <w:tc>
          <w:tcPr>
            <w:tcW w:type="dxa" w:w="288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val="false"/>
                <w:bCs w:val="false"/>
                <w:color w:val="1B4F8A"/>
                <w:sz w:val="19"/>
                <w:szCs w:val="19"/>
              </w:rPr>
              <w:t xml:space="preserve">Most mid-size enterprises. Best balance of risk and speed.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Parallel Run</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18 to 30 months</w:t>
            </w:r>
          </w:p>
        </w:tc>
        <w:tc>
          <w:tcPr>
            <w:tcW w:type="dxa" w:w="28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LOW: Run both systems simultaneously. Most expensive but safest.</w:t>
            </w:r>
          </w:p>
        </w:tc>
        <w:tc>
          <w:tcPr>
            <w:tcW w:type="dxa" w:w="28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Highly regulated industries with zero tolerance for downtime.</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3.  The Migration Framework</w:t>
      </w:r>
    </w:p>
    <w:p>
      <w:pPr>
        <w:pStyle w:val="Heading2"/>
        <w:spacing w:before="320" w:after="120"/>
      </w:pPr>
      <w:r>
        <w:rPr>
          <w:rFonts w:ascii="Arial" w:cs="Arial" w:eastAsia="Arial" w:hAnsi="Arial"/>
          <w:b/>
          <w:bCs/>
          <w:color w:val="1A1A2E"/>
          <w:sz w:val="26"/>
          <w:szCs w:val="26"/>
        </w:rPr>
        <w:t xml:space="preserve">3.1  Five-Phase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360"/>
        <w:gridCol w:w="2800"/>
      </w:tblGrid>
      <w:tr>
        <w:tc>
          <w:tcPr>
            <w:tcW w:type="dxa" w:w="1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3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Activities</w:t>
            </w:r>
          </w:p>
        </w:tc>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Primary Deliverable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Phase 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Weeks 1 to 4</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Stakeholder interviews, current state mapping, business case, executive sign-off</w:t>
            </w:r>
          </w:p>
        </w:tc>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Migration Readiness Report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Weeks 5 to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Vendor evaluation, fit-gap analysis, data quality audit, integration mapping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Vendor Selection Report + Data Quality Assessment</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Phase 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Weeks 11 to 20</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System configuration, data cleansing, integration build, UAT preparation</w:t>
            </w:r>
          </w:p>
        </w:tc>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Configured Cloud ERP + Clean Data Set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Phase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Weeks 21 to 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UAT execution, defect resolution, user training, cutover planning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44444"/>
                <w:sz w:val="19"/>
                <w:szCs w:val="19"/>
              </w:rPr>
              <w:t xml:space="preserve">UAT Sign-off + Trained User Base</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Phase 5</w:t>
            </w:r>
          </w:p>
        </w:tc>
        <w:tc>
          <w:tcPr>
            <w:tcW w:type="dxa" w:w="1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Weeks 27 to 30</w:t>
            </w:r>
          </w:p>
        </w:tc>
        <w:tc>
          <w:tcPr>
            <w:tcW w:type="dxa" w:w="3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Go-live, hypercare support, performance monitoring, post-migration review</w:t>
            </w:r>
          </w:p>
        </w:tc>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color w:val="444444"/>
                <w:sz w:val="19"/>
                <w:szCs w:val="19"/>
              </w:rPr>
              <w:t xml:space="preserve">Live System + Post-Migration Report</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3.2  Phase 1: Discovery and Business Case</w:t>
      </w:r>
    </w:p>
    <w:p>
      <w:pPr>
        <w:spacing w:before="200" w:after="80"/>
      </w:pPr>
      <w:r>
        <w:rPr>
          <w:rFonts w:ascii="Arial" w:cs="Arial" w:eastAsia="Arial" w:hAnsi="Arial"/>
          <w:b/>
          <w:bCs/>
          <w:color w:val="2E86C1"/>
          <w:sz w:val="22"/>
          <w:szCs w:val="22"/>
        </w:rPr>
        <w:t xml:space="preserve">Key Activities</w:t>
      </w:r>
    </w:p>
    <w:p>
      <w:pPr>
        <w:pStyle w:val="ListParagraph"/>
        <w:numPr>
          <w:ilvl w:val="0"/>
          <w:numId w:val="3"/>
        </w:numPr>
        <w:spacing w:before="40" w:after="40"/>
      </w:pPr>
      <w:r>
        <w:rPr>
          <w:rFonts w:ascii="Arial" w:cs="Arial" w:eastAsia="Arial" w:hAnsi="Arial"/>
          <w:color w:val="444444"/>
          <w:sz w:val="22"/>
          <w:szCs w:val="22"/>
        </w:rPr>
        <w:t xml:space="preserve">Conduct structured stakeholder interviews across Finance, HR, Supply Chain, and IT</w:t>
      </w:r>
    </w:p>
    <w:p>
      <w:pPr>
        <w:pStyle w:val="ListParagraph"/>
        <w:numPr>
          <w:ilvl w:val="0"/>
          <w:numId w:val="3"/>
        </w:numPr>
        <w:spacing w:before="40" w:after="40"/>
      </w:pPr>
      <w:r>
        <w:rPr>
          <w:rFonts w:ascii="Arial" w:cs="Arial" w:eastAsia="Arial" w:hAnsi="Arial"/>
          <w:color w:val="444444"/>
          <w:sz w:val="22"/>
          <w:szCs w:val="22"/>
        </w:rPr>
        <w:t xml:space="preserve">Document all active PeopleSoft modules, customisations, and integration points</w:t>
      </w:r>
    </w:p>
    <w:p>
      <w:pPr>
        <w:pStyle w:val="ListParagraph"/>
        <w:numPr>
          <w:ilvl w:val="0"/>
          <w:numId w:val="3"/>
        </w:numPr>
        <w:spacing w:before="40" w:after="40"/>
      </w:pPr>
      <w:r>
        <w:rPr>
          <w:rFonts w:ascii="Arial" w:cs="Arial" w:eastAsia="Arial" w:hAnsi="Arial"/>
          <w:color w:val="444444"/>
          <w:sz w:val="22"/>
          <w:szCs w:val="22"/>
        </w:rPr>
        <w:t xml:space="preserve">Quantify current annual infrastructure, licensing, and maintenance costs</w:t>
      </w:r>
    </w:p>
    <w:p>
      <w:pPr>
        <w:pStyle w:val="ListParagraph"/>
        <w:numPr>
          <w:ilvl w:val="0"/>
          <w:numId w:val="3"/>
        </w:numPr>
        <w:spacing w:before="40" w:after="40"/>
      </w:pPr>
      <w:r>
        <w:rPr>
          <w:rFonts w:ascii="Arial" w:cs="Arial" w:eastAsia="Arial" w:hAnsi="Arial"/>
          <w:color w:val="444444"/>
          <w:sz w:val="22"/>
          <w:szCs w:val="22"/>
        </w:rPr>
        <w:t xml:space="preserve">Develop 5-year ROI model comparing stay-the-course versus migration</w:t>
      </w:r>
    </w:p>
    <w:p>
      <w:pPr>
        <w:pStyle w:val="ListParagraph"/>
        <w:numPr>
          <w:ilvl w:val="0"/>
          <w:numId w:val="3"/>
        </w:numPr>
        <w:spacing w:before="40" w:after="40"/>
      </w:pPr>
      <w:r>
        <w:rPr>
          <w:rFonts w:ascii="Arial" w:cs="Arial" w:eastAsia="Arial" w:hAnsi="Arial"/>
          <w:color w:val="444444"/>
          <w:sz w:val="22"/>
          <w:szCs w:val="22"/>
        </w:rPr>
        <w:t xml:space="preserve">Present business case to C-suite and obtain formal project charter sign-off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before="0" w:after="80"/>
            </w:pPr>
            <w:r>
              <w:rPr>
                <w:rFonts w:ascii="Arial" w:cs="Arial" w:eastAsia="Arial" w:hAnsi="Arial"/>
                <w:b/>
                <w:bCs/>
                <w:color w:val="CA6F1E"/>
                <w:sz w:val="22"/>
                <w:szCs w:val="22"/>
              </w:rPr>
              <w:t xml:space="preserve">Practitioner Insight</w:t>
            </w:r>
          </w:p>
          <w:p>
            <w:pPr>
              <w:spacing w:before="30" w:after="30"/>
            </w:pPr>
            <w:r>
              <w:rPr>
                <w:rFonts w:ascii="Arial" w:cs="Arial" w:eastAsia="Arial" w:hAnsi="Arial"/>
                <w:color w:val="1A1A2E"/>
                <w:sz w:val="21"/>
                <w:szCs w:val="21"/>
              </w:rPr>
              <w:t xml:space="preserve">Projects that skip or rush the discovery phase are 3 times more likely to experience scope changes and budget overruns mid-project.</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A strong business case does three things: quantifies the cost of inaction, sets realistic expectations, and establishes the metrics by which success will be measured post go-live.</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At NTT DATA, the most common failure point was not technical complexity but insufficient stakeholder alignment at the start of the project.</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3.3  Phase 2: Vendor Selection and Fit-Gap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Evaluation Criterion</w:t>
            </w:r>
          </w:p>
        </w:tc>
        <w:tc>
          <w:tcPr>
            <w:tcW w:type="dxa" w:w="6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What to Assess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Functional Coverage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Does the platform cover your core modules: HR, Finance, Procurement, Supply Chain?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PeopleSoft Migration Tools</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Does the vendor offer PeopleSoft-specific data templates or migration accelerators?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Total Cost of Ownership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Compare licence, implementation, and subscription costs over a 5-year horizon.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Integration Ecosystem</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How easily does the platform connect with your existing CRM, BI, and third-party tools?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Regional Support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Does the vendor have certified implementation partners in your operating region?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AI and Analytics</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What native AI and self-service reporting capabilities are included in the base licence?</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Upgrade Path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How are new features delivered? What is the vendor roadmap for the next 3 to 5 years?</w:t>
            </w:r>
          </w:p>
        </w:tc>
      </w:tr>
    </w:tbl>
    <w:p>
      <w:pPr>
        <w:spacing w:before="80" w:after="0"/>
      </w:pPr>
      <w:r>
        <w:t xml:space="preserve"/>
      </w:r>
    </w:p>
    <w:p>
      <w:pPr>
        <w:spacing w:before="200" w:after="80"/>
      </w:pPr>
      <w:r>
        <w:rPr>
          <w:rFonts w:ascii="Arial" w:cs="Arial" w:eastAsia="Arial" w:hAnsi="Arial"/>
          <w:b/>
          <w:bCs/>
          <w:color w:val="2E86C1"/>
          <w:sz w:val="22"/>
          <w:szCs w:val="22"/>
        </w:rPr>
        <w:t xml:space="preserve">Fit-Gap Classifications</w:t>
      </w:r>
    </w:p>
    <w:p>
      <w:pPr>
        <w:pStyle w:val="ListParagraph"/>
        <w:numPr>
          <w:ilvl w:val="0"/>
          <w:numId w:val="2"/>
        </w:numPr>
        <w:spacing w:before="40" w:after="40"/>
      </w:pPr>
      <w:r>
        <w:rPr>
          <w:rFonts w:ascii="Arial" w:cs="Arial" w:eastAsia="Arial" w:hAnsi="Arial"/>
          <w:color w:val="444444"/>
          <w:sz w:val="22"/>
          <w:szCs w:val="22"/>
        </w:rPr>
        <w:t xml:space="preserve">FIT: Cloud ERP handles the process in standard configuration. No changes required.</w:t>
      </w:r>
    </w:p>
    <w:p>
      <w:pPr>
        <w:pStyle w:val="ListParagraph"/>
        <w:numPr>
          <w:ilvl w:val="0"/>
          <w:numId w:val="2"/>
        </w:numPr>
        <w:spacing w:before="40" w:after="40"/>
      </w:pPr>
      <w:r>
        <w:rPr>
          <w:rFonts w:ascii="Arial" w:cs="Arial" w:eastAsia="Arial" w:hAnsi="Arial"/>
          <w:color w:val="444444"/>
          <w:sz w:val="22"/>
          <w:szCs w:val="22"/>
        </w:rPr>
        <w:t xml:space="preserve">PARTIAL FIT: Cloud ERP handles the process with minor configuration or workflow adjustment.</w:t>
      </w:r>
    </w:p>
    <w:p>
      <w:pPr>
        <w:pStyle w:val="ListParagraph"/>
        <w:numPr>
          <w:ilvl w:val="0"/>
          <w:numId w:val="2"/>
        </w:numPr>
        <w:spacing w:before="40" w:after="40"/>
      </w:pPr>
      <w:r>
        <w:rPr>
          <w:rFonts w:ascii="Arial" w:cs="Arial" w:eastAsia="Arial" w:hAnsi="Arial"/>
          <w:color w:val="444444"/>
          <w:sz w:val="22"/>
          <w:szCs w:val="22"/>
        </w:rPr>
        <w:t xml:space="preserve">GAP: Cloud ERP does not support the process in standard configuration. Requires customisation, workaround, or process redesign.</w:t>
      </w:r>
    </w:p>
    <w:p>
      <w:pPr>
        <w:spacing w:before="60" w:after="0"/>
      </w:pPr>
      <w:r>
        <w:t xml:space="preserve"/>
      </w:r>
    </w:p>
    <w:p>
      <w:pPr>
        <w:spacing w:before="60" w:after="80"/>
        <w:jc w:val="left"/>
      </w:pPr>
      <w:r>
        <w:rPr>
          <w:rFonts w:ascii="Arial" w:cs="Arial" w:eastAsia="Arial" w:hAnsi="Arial"/>
          <w:b w:val="false"/>
          <w:bCs w:val="false"/>
          <w:i/>
          <w:iCs/>
          <w:color w:val="922B21"/>
          <w:sz w:val="22"/>
          <w:szCs w:val="22"/>
        </w:rPr>
        <w:t xml:space="preserve">A gap rate above 30% of processes is a warning signal. Either the vendor is not the right fit, or the enterprise must redesign core processes before migration.</w:t>
      </w:r>
    </w:p>
    <w:p>
      <w:pPr>
        <w:spacing w:before="100" w:after="0"/>
      </w:pPr>
      <w:r>
        <w:t xml:space="preserve"/>
      </w:r>
    </w:p>
    <w:p>
      <w:pPr>
        <w:pStyle w:val="Heading2"/>
        <w:spacing w:before="320" w:after="120"/>
      </w:pPr>
      <w:r>
        <w:rPr>
          <w:rFonts w:ascii="Arial" w:cs="Arial" w:eastAsia="Arial" w:hAnsi="Arial"/>
          <w:b/>
          <w:bCs/>
          <w:color w:val="1A1A2E"/>
          <w:sz w:val="26"/>
          <w:szCs w:val="26"/>
        </w:rPr>
        <w:t xml:space="preserve">3.4  Phase 3: Build, Configure, and Data Migration</w:t>
      </w:r>
    </w:p>
    <w:p>
      <w:pPr>
        <w:spacing w:before="200" w:after="80"/>
      </w:pPr>
      <w:r>
        <w:rPr>
          <w:rFonts w:ascii="Arial" w:cs="Arial" w:eastAsia="Arial" w:hAnsi="Arial"/>
          <w:b/>
          <w:bCs/>
          <w:color w:val="2E86C1"/>
          <w:sz w:val="22"/>
          <w:szCs w:val="22"/>
        </w:rPr>
        <w:t xml:space="preserve">Data Migration Golden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60"/>
              <w:left w:type="dxa" w:w="200"/>
              <w:bottom w:type="dxa" w:w="160"/>
              <w:right w:type="dxa" w:w="200"/>
            </w:tcMar>
          </w:tcPr>
          <w:p>
            <w:pPr>
              <w:spacing w:before="0" w:after="80"/>
            </w:pPr>
            <w:r>
              <w:rPr>
                <w:rFonts w:ascii="Arial" w:cs="Arial" w:eastAsia="Arial" w:hAnsi="Arial"/>
                <w:b/>
                <w:bCs/>
                <w:color w:val="1E8449"/>
                <w:sz w:val="22"/>
                <w:szCs w:val="22"/>
              </w:rPr>
              <w:t xml:space="preserve">Five Rules That Prevent Migration Failures</w:t>
            </w:r>
          </w:p>
          <w:p>
            <w:pPr>
              <w:spacing w:before="30" w:after="30"/>
            </w:pPr>
            <w:r>
              <w:rPr>
                <w:rFonts w:ascii="Arial" w:cs="Arial" w:eastAsia="Arial" w:hAnsi="Arial"/>
                <w:color w:val="1A1A2E"/>
                <w:sz w:val="21"/>
                <w:szCs w:val="21"/>
              </w:rPr>
              <w:t xml:space="preserve">Rule 1: Never migrate dirty data. Cleanse first, migrate second.</w:t>
            </w:r>
          </w:p>
          <w:p>
            <w:pPr>
              <w:spacing w:before="30" w:after="30"/>
            </w:pPr>
            <w:r>
              <w:rPr>
                <w:rFonts w:ascii="Arial" w:cs="Arial" w:eastAsia="Arial" w:hAnsi="Arial"/>
                <w:color w:val="1A1A2E"/>
                <w:sz w:val="21"/>
                <w:szCs w:val="21"/>
              </w:rPr>
              <w:t xml:space="preserve">Rule 2: Test migration scripts with production-like data, not dummy data.</w:t>
            </w:r>
          </w:p>
          <w:p>
            <w:pPr>
              <w:spacing w:before="30" w:after="30"/>
            </w:pPr>
            <w:r>
              <w:rPr>
                <w:rFonts w:ascii="Arial" w:cs="Arial" w:eastAsia="Arial" w:hAnsi="Arial"/>
                <w:color w:val="1A1A2E"/>
                <w:sz w:val="21"/>
                <w:szCs w:val="21"/>
              </w:rPr>
              <w:t xml:space="preserve">Rule 3: Validate every migrated record against source PeopleSoft data before go-live sign-off.</w:t>
            </w:r>
          </w:p>
          <w:p>
            <w:pPr>
              <w:spacing w:before="30" w:after="30"/>
            </w:pPr>
            <w:r>
              <w:rPr>
                <w:rFonts w:ascii="Arial" w:cs="Arial" w:eastAsia="Arial" w:hAnsi="Arial"/>
                <w:color w:val="1A1A2E"/>
                <w:sz w:val="21"/>
                <w:szCs w:val="21"/>
              </w:rPr>
              <w:t xml:space="preserve">Rule 4: Keep PeopleSoft live as a read-only fallback until data validation is 100% complete.</w:t>
            </w:r>
          </w:p>
          <w:p>
            <w:pPr>
              <w:spacing w:before="30" w:after="30"/>
            </w:pPr>
            <w:r>
              <w:rPr>
                <w:rFonts w:ascii="Arial" w:cs="Arial" w:eastAsia="Arial" w:hAnsi="Arial"/>
                <w:color w:val="1A1A2E"/>
                <w:sz w:val="21"/>
                <w:szCs w:val="21"/>
              </w:rPr>
              <w:t xml:space="preserve">Rule 5: Assign one named person as data migration owner. Shared ownership means no ownership.</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3.5  Phase 4: UAT and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UAT Element</w:t>
            </w:r>
          </w:p>
        </w:tc>
        <w:tc>
          <w:tcPr>
            <w:tcW w:type="dxa" w:w="6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Standard</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Test Scope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All in-scope business processes tested end-to-end, not just individual transactions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Test Data</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Anonymised production data used wherever possible</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Defect Classification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Critical (blocks go-live), Major (workaround available), Minor (cosmetic or low impact)</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Pass Criteria</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100% of Critical defects resolved. 95% of Major defects resolved before sign-off.</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Regression Testing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All previously passing cases re-executed after each batch of defect fixes</w:t>
            </w:r>
          </w:p>
        </w:tc>
      </w:tr>
      <w:tr>
        <w:tc>
          <w:tcPr>
            <w:tcW w:type="dxa" w:w="24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Business Sign-off</w:t>
            </w:r>
          </w:p>
        </w:tc>
        <w:tc>
          <w:tcPr>
            <w:tcW w:type="dxa" w:w="69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Named business owner from each function must formally sign UAT completion</w:t>
            </w:r>
          </w:p>
        </w:tc>
      </w:tr>
    </w:tbl>
    <w:p>
      <w:pPr>
        <w:spacing w:before="80" w:after="0"/>
      </w:pPr>
      <w:r>
        <w:t xml:space="preserve"/>
      </w:r>
    </w:p>
    <w:p>
      <w:pPr>
        <w:spacing w:before="200" w:after="80"/>
      </w:pPr>
      <w:r>
        <w:rPr>
          <w:rFonts w:ascii="Arial" w:cs="Arial" w:eastAsia="Arial" w:hAnsi="Arial"/>
          <w:b/>
          <w:bCs/>
          <w:color w:val="2E86C1"/>
          <w:sz w:val="22"/>
          <w:szCs w:val="22"/>
        </w:rPr>
        <w:t xml:space="preserve">Training Strategy</w:t>
      </w:r>
    </w:p>
    <w:p>
      <w:pPr>
        <w:pStyle w:val="ListParagraph"/>
        <w:numPr>
          <w:ilvl w:val="0"/>
          <w:numId w:val="2"/>
        </w:numPr>
        <w:spacing w:before="40" w:after="40"/>
      </w:pPr>
      <w:r>
        <w:rPr>
          <w:rFonts w:ascii="Arial" w:cs="Arial" w:eastAsia="Arial" w:hAnsi="Arial"/>
          <w:color w:val="444444"/>
          <w:sz w:val="22"/>
          <w:szCs w:val="22"/>
        </w:rPr>
        <w:t xml:space="preserve">Role-based training: different content for end users, managers, approvers, and system administrators</w:t>
      </w:r>
    </w:p>
    <w:p>
      <w:pPr>
        <w:pStyle w:val="ListParagraph"/>
        <w:numPr>
          <w:ilvl w:val="0"/>
          <w:numId w:val="2"/>
        </w:numPr>
        <w:spacing w:before="40" w:after="40"/>
      </w:pPr>
      <w:r>
        <w:rPr>
          <w:rFonts w:ascii="Arial" w:cs="Arial" w:eastAsia="Arial" w:hAnsi="Arial"/>
          <w:color w:val="444444"/>
          <w:sz w:val="22"/>
          <w:szCs w:val="22"/>
        </w:rPr>
        <w:t xml:space="preserve">Deliver training within two weeks of go-live to maximise retention</w:t>
      </w:r>
    </w:p>
    <w:p>
      <w:pPr>
        <w:pStyle w:val="ListParagraph"/>
        <w:numPr>
          <w:ilvl w:val="0"/>
          <w:numId w:val="2"/>
        </w:numPr>
        <w:spacing w:before="40" w:after="40"/>
      </w:pPr>
      <w:r>
        <w:rPr>
          <w:rFonts w:ascii="Arial" w:cs="Arial" w:eastAsia="Arial" w:hAnsi="Arial"/>
          <w:color w:val="444444"/>
          <w:sz w:val="22"/>
          <w:szCs w:val="22"/>
        </w:rPr>
        <w:t xml:space="preserve">Create quick reference cards for the top 10 most common tasks in the new system</w:t>
      </w:r>
    </w:p>
    <w:p>
      <w:pPr>
        <w:pStyle w:val="ListParagraph"/>
        <w:numPr>
          <w:ilvl w:val="0"/>
          <w:numId w:val="2"/>
        </w:numPr>
        <w:spacing w:before="40" w:after="40"/>
      </w:pPr>
      <w:r>
        <w:rPr>
          <w:rFonts w:ascii="Arial" w:cs="Arial" w:eastAsia="Arial" w:hAnsi="Arial"/>
          <w:color w:val="444444"/>
          <w:sz w:val="22"/>
          <w:szCs w:val="22"/>
        </w:rPr>
        <w:t xml:space="preserve">Identify and certify super users in each department to provide first-line peer support post go-live</w:t>
      </w:r>
    </w:p>
    <w:p>
      <w:pPr>
        <w:pStyle w:val="ListParagraph"/>
        <w:numPr>
          <w:ilvl w:val="0"/>
          <w:numId w:val="2"/>
        </w:numPr>
        <w:spacing w:before="40" w:after="40"/>
      </w:pPr>
      <w:r>
        <w:rPr>
          <w:rFonts w:ascii="Arial" w:cs="Arial" w:eastAsia="Arial" w:hAnsi="Arial"/>
          <w:color w:val="444444"/>
          <w:sz w:val="22"/>
          <w:szCs w:val="22"/>
        </w:rPr>
        <w:t xml:space="preserve">Record all training sessions for future onboarding of new employees</w:t>
      </w:r>
    </w:p>
    <w:p>
      <w:pPr>
        <w:spacing w:before="100" w:after="0"/>
      </w:pPr>
      <w:r>
        <w:t xml:space="preserve"/>
      </w:r>
    </w:p>
    <w:p>
      <w:pPr>
        <w:pStyle w:val="Heading2"/>
        <w:spacing w:before="320" w:after="120"/>
      </w:pPr>
      <w:r>
        <w:rPr>
          <w:rFonts w:ascii="Arial" w:cs="Arial" w:eastAsia="Arial" w:hAnsi="Arial"/>
          <w:b/>
          <w:bCs/>
          <w:color w:val="1A1A2E"/>
          <w:sz w:val="26"/>
          <w:szCs w:val="26"/>
        </w:rPr>
        <w:t xml:space="preserve">3.6  Phase 5: Go-Live and Hypercare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60"/>
              <w:left w:type="dxa" w:w="200"/>
              <w:bottom w:type="dxa" w:w="160"/>
              <w:right w:type="dxa" w:w="200"/>
            </w:tcMar>
          </w:tcPr>
          <w:p>
            <w:pPr>
              <w:spacing w:before="0" w:after="80"/>
            </w:pPr>
            <w:r>
              <w:rPr>
                <w:rFonts w:ascii="Arial" w:cs="Arial" w:eastAsia="Arial" w:hAnsi="Arial"/>
                <w:b/>
                <w:bCs/>
                <w:color w:val="1E8449"/>
                <w:sz w:val="22"/>
                <w:szCs w:val="22"/>
              </w:rPr>
              <w:t xml:space="preserve">Hypercare Protocol</w:t>
            </w:r>
          </w:p>
          <w:p>
            <w:pPr>
              <w:spacing w:before="30" w:after="30"/>
            </w:pPr>
            <w:r>
              <w:rPr>
                <w:rFonts w:ascii="Arial" w:cs="Arial" w:eastAsia="Arial" w:hAnsi="Arial"/>
                <w:color w:val="1A1A2E"/>
                <w:sz w:val="21"/>
                <w:szCs w:val="21"/>
              </w:rPr>
              <w:t xml:space="preserve">Weeks 1 to 2: War room activated. All critical issues resolved within 4 hours.</w:t>
            </w:r>
          </w:p>
          <w:p>
            <w:pPr>
              <w:spacing w:before="30" w:after="30"/>
            </w:pPr>
            <w:r>
              <w:rPr>
                <w:rFonts w:ascii="Arial" w:cs="Arial" w:eastAsia="Arial" w:hAnsi="Arial"/>
                <w:color w:val="1A1A2E"/>
                <w:sz w:val="21"/>
                <w:szCs w:val="21"/>
              </w:rPr>
              <w:t xml:space="preserve">Weeks 3 to 4: Daily issue triage. SLA extends to 8 hours for critical, 24 hours for major issues.</w:t>
            </w:r>
          </w:p>
          <w:p>
            <w:pPr>
              <w:spacing w:before="30" w:after="30"/>
            </w:pPr>
            <w:r>
              <w:rPr>
                <w:rFonts w:ascii="Arial" w:cs="Arial" w:eastAsia="Arial" w:hAnsi="Arial"/>
                <w:color w:val="1A1A2E"/>
                <w:sz w:val="21"/>
                <w:szCs w:val="21"/>
              </w:rPr>
              <w:t xml:space="preserve">Weeks 5 to 6: Weekly issue reviews. Super users take on first-line support.</w:t>
            </w:r>
          </w:p>
          <w:p>
            <w:pPr>
              <w:spacing w:before="30" w:after="30"/>
            </w:pPr>
            <w:r>
              <w:rPr>
                <w:rFonts w:ascii="Arial" w:cs="Arial" w:eastAsia="Arial" w:hAnsi="Arial"/>
                <w:color w:val="1A1A2E"/>
                <w:sz w:val="21"/>
                <w:szCs w:val="21"/>
              </w:rPr>
              <w:t xml:space="preserve">Weeks 7 to 8: Transition to BAU support. Formal hypercare closure review.</w:t>
            </w:r>
          </w:p>
          <w:p>
            <w:pPr>
              <w:spacing w:before="30" w:after="30"/>
            </w:pPr>
            <w:r>
              <w:rPr>
                <w:rFonts w:ascii="Arial" w:cs="Arial" w:eastAsia="Arial" w:hAnsi="Arial"/>
                <w:color w:val="1A1A2E"/>
                <w:sz w:val="21"/>
                <w:szCs w:val="21"/>
              </w:rPr>
              <w:t xml:space="preserve">Throughout: PeopleSoft remains live as read-only reference. Do not decommission until 12 weeks post go-live.</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4.  Cost-Benefit Analysis</w:t>
      </w:r>
    </w:p>
    <w:p>
      <w:pPr>
        <w:pStyle w:val="Heading2"/>
        <w:spacing w:before="320" w:after="120"/>
      </w:pPr>
      <w:r>
        <w:rPr>
          <w:rFonts w:ascii="Arial" w:cs="Arial" w:eastAsia="Arial" w:hAnsi="Arial"/>
          <w:b/>
          <w:bCs/>
          <w:color w:val="1A1A2E"/>
          <w:sz w:val="26"/>
          <w:szCs w:val="26"/>
        </w:rPr>
        <w:t xml:space="preserve">4.1  Typical Migration Cost Profile</w:t>
      </w:r>
    </w:p>
    <w:p>
      <w:pPr>
        <w:spacing w:before="60" w:after="80"/>
        <w:jc w:val="left"/>
      </w:pPr>
      <w:r>
        <w:rPr>
          <w:rFonts w:ascii="Arial" w:cs="Arial" w:eastAsia="Arial" w:hAnsi="Arial"/>
          <w:b w:val="false"/>
          <w:bCs w:val="false"/>
          <w:i w:val="false"/>
          <w:iCs w:val="false"/>
          <w:color w:val="444444"/>
          <w:sz w:val="22"/>
          <w:szCs w:val="22"/>
        </w:rPr>
        <w:t xml:space="preserve">The following estimates are based on industry benchmarks for mid-size enterprises with 500 to 2,000 users. Actual costs will vary based on scope, customisation level, and vendor.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Cost Category</w:t>
            </w:r>
          </w:p>
        </w:tc>
        <w:tc>
          <w:tcPr>
            <w:tcW w:type="dxa" w:w="20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Low Estimate</w:t>
            </w:r>
          </w:p>
        </w:tc>
        <w:tc>
          <w:tcPr>
            <w:tcW w:type="dxa" w:w="20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High Estimate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Cloud ERP Licences (Year 1)</w:t>
            </w:r>
          </w:p>
        </w:tc>
        <w:tc>
          <w:tcPr>
            <w:tcW w:type="dxa" w:w="20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$150,000</w:t>
            </w:r>
          </w:p>
        </w:tc>
        <w:tc>
          <w:tcPr>
            <w:tcW w:type="dxa" w:w="20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$400,000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Per user pricing. Varies by vendor and scope.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Implementation and Consulting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$300,000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$800,000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Largest cost driver. Depends on customisation level.</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Data Cleansing and Migration</w:t>
            </w:r>
          </w:p>
        </w:tc>
        <w:tc>
          <w:tcPr>
            <w:tcW w:type="dxa" w:w="20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$50,000</w:t>
            </w:r>
          </w:p>
        </w:tc>
        <w:tc>
          <w:tcPr>
            <w:tcW w:type="dxa" w:w="20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$150,000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Frequently underestimated. Budget generously.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Training and Change Management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$40,000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$100,000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Critical investment. Do not reduce this budget.</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Infrastructure Transition</w:t>
            </w:r>
          </w:p>
        </w:tc>
        <w:tc>
          <w:tcPr>
            <w:tcW w:type="dxa" w:w="20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$20,000</w:t>
            </w:r>
          </w:p>
        </w:tc>
        <w:tc>
          <w:tcPr>
            <w:tcW w:type="dxa" w:w="20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$60,000</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Decommissioning on-premise servers.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Contingency (20%)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$112,000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$302,000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Industry standard. Strongly recommended.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TOTAL MIGRATION COST</w:t>
            </w:r>
          </w:p>
        </w:tc>
        <w:tc>
          <w:tcPr>
            <w:tcW w:type="dxa" w:w="208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$672,000</w:t>
            </w:r>
          </w:p>
        </w:tc>
        <w:tc>
          <w:tcPr>
            <w:tcW w:type="dxa" w:w="208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$1,812,000</w:t>
            </w:r>
          </w:p>
        </w:tc>
        <w:tc>
          <w:tcPr>
            <w:tcW w:type="dxa" w:w="20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One-time investment for full transformation.</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4.2  Annual Savings Post-Migration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0"/>
              <w:left w:type="dxa" w:w="0"/>
              <w:bottom w:type="dxa" w:w="80"/>
              <w:right w:type="dxa" w:w="0"/>
            </w:tcMar>
          </w:tcPr>
          <w:p>
            <w:r>
              <w:rPr>
                <w:rFonts w:ascii="Arial" w:cs="Arial" w:eastAsia="Arial" w:hAnsi="Arial"/>
                <w:b/>
                <w:bCs/>
                <w:color w:val="1A1A2E"/>
                <w:sz w:val="24"/>
                <w:szCs w:val="24"/>
              </w:rPr>
              <w:t xml:space="preserve">Estimated Annual Savings Post-Migration (USD, Mid-Size Enterprise)</w:t>
            </w:r>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00"/>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Server and infrastructure elimination</w:t>
                  </w:r>
                </w:p>
              </w:tc>
              <w:tc>
                <w:tcPr>
                  <w:tcW w:type="dxa" w:w="5000"/>
                  <w:tcBorders>
                    <w:top w:val="none" w:color="FFFFFF" w:sz="0"/>
                    <w:left w:val="none" w:color="FFFFFF" w:sz="0"/>
                    <w:bottom w:val="none" w:color="FFFFFF" w:sz="0"/>
                    <w:right w:val="none" w:color="FFFFFF" w:sz="0"/>
                  </w:tcBorders>
                  <w:shd w:fill="1E8449" w:val="clear"/>
                  <w:tcMar>
                    <w:top w:type="dxa" w:w="60"/>
                    <w:left w:type="dxa" w:w="0"/>
                    <w:bottom w:type="dxa" w:w="60"/>
                    <w:right w:type="dxa" w:w="0"/>
                  </w:tcMar>
                </w:tcPr>
                <w:p>
                  <w:r>
                    <w:rPr>
                      <w:rFonts w:ascii="Arial" w:cs="Arial" w:eastAsia="Arial" w:hAnsi="Arial"/>
                      <w:sz w:val="19"/>
                      <w:szCs w:val="19"/>
                    </w:rPr>
                    <w:t xml:space="preserve"/>
                  </w:r>
                </w:p>
              </w:tc>
              <w:tc>
                <w:tcPr>
                  <w:tcW w:type="dxa" w:w="1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$280K/yr</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14"/>
              <w:gridCol w:w="1786"/>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Reduced DBA and IT maintenance</w:t>
                  </w:r>
                </w:p>
              </w:tc>
              <w:tc>
                <w:tcPr>
                  <w:tcW w:type="dxa" w:w="3214"/>
                  <w:tcBorders>
                    <w:top w:val="none" w:color="FFFFFF" w:sz="0"/>
                    <w:left w:val="none" w:color="FFFFFF" w:sz="0"/>
                    <w:bottom w:val="none" w:color="FFFFFF" w:sz="0"/>
                    <w:right w:val="none" w:color="FFFFFF" w:sz="0"/>
                  </w:tcBorders>
                  <w:shd w:fill="27AE60" w:val="clear"/>
                  <w:tcMar>
                    <w:top w:type="dxa" w:w="60"/>
                    <w:left w:type="dxa" w:w="0"/>
                    <w:bottom w:type="dxa" w:w="60"/>
                    <w:right w:type="dxa" w:w="0"/>
                  </w:tcMar>
                </w:tcPr>
                <w:p>
                  <w:r>
                    <w:rPr>
                      <w:rFonts w:ascii="Arial" w:cs="Arial" w:eastAsia="Arial" w:hAnsi="Arial"/>
                      <w:sz w:val="19"/>
                      <w:szCs w:val="19"/>
                    </w:rPr>
                    <w:t xml:space="preserve"/>
                  </w:r>
                </w:p>
              </w:tc>
              <w:tc>
                <w:tcPr>
                  <w:tcW w:type="dxa" w:w="1786"/>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$180K/yr</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143"/>
              <w:gridCol w:w="2857"/>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Lower consulting and patch management</w:t>
                  </w:r>
                </w:p>
              </w:tc>
              <w:tc>
                <w:tcPr>
                  <w:tcW w:type="dxa" w:w="2143"/>
                  <w:tcBorders>
                    <w:top w:val="none" w:color="FFFFFF" w:sz="0"/>
                    <w:left w:val="none" w:color="FFFFFF" w:sz="0"/>
                    <w:bottom w:val="none" w:color="FFFFFF" w:sz="0"/>
                    <w:right w:val="none" w:color="FFFFFF" w:sz="0"/>
                  </w:tcBorders>
                  <w:shd w:fill="52BE80" w:val="clear"/>
                  <w:tcMar>
                    <w:top w:type="dxa" w:w="60"/>
                    <w:left w:type="dxa" w:w="0"/>
                    <w:bottom w:type="dxa" w:w="60"/>
                    <w:right w:type="dxa" w:w="0"/>
                  </w:tcMar>
                </w:tcPr>
                <w:p>
                  <w:r>
                    <w:rPr>
                      <w:rFonts w:ascii="Arial" w:cs="Arial" w:eastAsia="Arial" w:hAnsi="Arial"/>
                      <w:sz w:val="19"/>
                      <w:szCs w:val="19"/>
                    </w:rPr>
                    <w:t xml:space="preserve"/>
                  </w:r>
                </w:p>
              </w:tc>
              <w:tc>
                <w:tcPr>
                  <w:tcW w:type="dxa" w:w="2857"/>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$120K/yr</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696"/>
              <w:gridCol w:w="3304"/>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Productivity gains from improved UX</w:t>
                  </w:r>
                </w:p>
              </w:tc>
              <w:tc>
                <w:tcPr>
                  <w:tcW w:type="dxa" w:w="1696"/>
                  <w:tcBorders>
                    <w:top w:val="none" w:color="FFFFFF" w:sz="0"/>
                    <w:left w:val="none" w:color="FFFFFF" w:sz="0"/>
                    <w:bottom w:val="none" w:color="FFFFFF" w:sz="0"/>
                    <w:right w:val="none" w:color="FFFFFF" w:sz="0"/>
                  </w:tcBorders>
                  <w:shd w:fill="7DCEA0" w:val="clear"/>
                  <w:tcMar>
                    <w:top w:type="dxa" w:w="60"/>
                    <w:left w:type="dxa" w:w="0"/>
                    <w:bottom w:type="dxa" w:w="60"/>
                    <w:right w:type="dxa" w:w="0"/>
                  </w:tcMar>
                </w:tcPr>
                <w:p>
                  <w:r>
                    <w:rPr>
                      <w:rFonts w:ascii="Arial" w:cs="Arial" w:eastAsia="Arial" w:hAnsi="Arial"/>
                      <w:sz w:val="19"/>
                      <w:szCs w:val="19"/>
                    </w:rPr>
                    <w:t xml:space="preserve"/>
                  </w:r>
                </w:p>
              </w:tc>
              <w:tc>
                <w:tcPr>
                  <w:tcW w:type="dxa" w:w="3304"/>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$95K/yr</w:t>
                  </w:r>
                </w:p>
              </w:tc>
            </w:tr>
          </w:tbl>
          <w:p/>
        </w:tc>
      </w:tr>
      <w:tr>
        <w:tc>
          <w:tcPr>
            <w:tcW w:type="dxa" w:w="9360"/>
            <w:tcBorders>
              <w:top w:val="none" w:color="FFFFFF" w:sz="0"/>
              <w:left w:val="none" w:color="FFFFFF" w:sz="0"/>
              <w:bottom w:val="none" w:color="FFFFFF" w:sz="0"/>
              <w:right w:val="none" w:color="FFFFFF" w:sz="0"/>
            </w:tcBorders>
            <w:tcMar>
              <w:top w:type="dxa" w:w="30"/>
              <w:left w:type="dxa" w:w="0"/>
              <w:bottom w:type="dxa" w:w="30"/>
              <w:right w:type="dxa" w:w="0"/>
            </w:tcMar>
          </w:tcPr>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29"/>
              <w:gridCol w:w="3571"/>
              <w:gridCol w:w="96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20"/>
                  </w:tcMar>
                </w:tcPr>
                <w:p>
                  <w:pPr>
                    <w:jc w:val="right"/>
                  </w:pPr>
                  <w:r>
                    <w:rPr>
                      <w:rFonts w:ascii="Arial" w:cs="Arial" w:eastAsia="Arial" w:hAnsi="Arial"/>
                      <w:color w:val="444444"/>
                      <w:sz w:val="19"/>
                      <w:szCs w:val="19"/>
                    </w:rPr>
                    <w:t xml:space="preserve">Reduced licence upgrade costs</w:t>
                  </w:r>
                </w:p>
              </w:tc>
              <w:tc>
                <w:tcPr>
                  <w:tcW w:type="dxa" w:w="1429"/>
                  <w:tcBorders>
                    <w:top w:val="none" w:color="FFFFFF" w:sz="0"/>
                    <w:left w:val="none" w:color="FFFFFF" w:sz="0"/>
                    <w:bottom w:val="none" w:color="FFFFFF" w:sz="0"/>
                    <w:right w:val="none" w:color="FFFFFF" w:sz="0"/>
                  </w:tcBorders>
                  <w:shd w:fill="A9DFBF" w:val="clear"/>
                  <w:tcMar>
                    <w:top w:type="dxa" w:w="60"/>
                    <w:left w:type="dxa" w:w="0"/>
                    <w:bottom w:type="dxa" w:w="60"/>
                    <w:right w:type="dxa" w:w="0"/>
                  </w:tcMar>
                </w:tcPr>
                <w:p>
                  <w:r>
                    <w:rPr>
                      <w:rFonts w:ascii="Arial" w:cs="Arial" w:eastAsia="Arial" w:hAnsi="Arial"/>
                      <w:sz w:val="19"/>
                      <w:szCs w:val="19"/>
                    </w:rPr>
                    <w:t xml:space="preserve"/>
                  </w:r>
                </w:p>
              </w:tc>
              <w:tc>
                <w:tcPr>
                  <w:tcW w:type="dxa" w:w="3571"/>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19"/>
                      <w:szCs w:val="19"/>
                    </w:rPr>
                    <w:t xml:space="preserve"/>
                  </w:r>
                </w:p>
              </w:tc>
              <w:tc>
                <w:tcPr>
                  <w:tcW w:type="dxa" w:w="9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1A1A2E"/>
                      <w:sz w:val="19"/>
                      <w:szCs w:val="19"/>
                    </w:rPr>
                    <w:t xml:space="preserve">$80K/yr</w:t>
                  </w:r>
                </w:p>
              </w:tc>
            </w:tr>
          </w:tbl>
          <w:p/>
        </w:tc>
      </w:tr>
    </w:tbl>
    <w:p>
      <w:pPr>
        <w:spacing w:before="60" w:after="0"/>
      </w:pPr>
      <w:r>
        <w:t xml:space="preserve"/>
      </w:r>
    </w:p>
    <w:p>
      <w:pPr>
        <w:spacing w:before="60" w:after="80"/>
        <w:jc w:val="left"/>
      </w:pPr>
      <w:r>
        <w:rPr>
          <w:rFonts w:ascii="Arial" w:cs="Arial" w:eastAsia="Arial" w:hAnsi="Arial"/>
          <w:b/>
          <w:bCs/>
          <w:i w:val="false"/>
          <w:iCs w:val="false"/>
          <w:color w:val="1E8449"/>
          <w:sz w:val="22"/>
          <w:szCs w:val="22"/>
        </w:rPr>
        <w:t xml:space="preserve">Total estimated annual savings: USD 755,000 per year post full migration.</w:t>
      </w:r>
    </w:p>
    <w:p>
      <w:pPr>
        <w:spacing w:before="100" w:after="0"/>
      </w:pPr>
      <w:r>
        <w:t xml:space="preserve"/>
      </w:r>
    </w:p>
    <w:p>
      <w:pPr>
        <w:pStyle w:val="Heading2"/>
        <w:spacing w:before="320" w:after="120"/>
      </w:pPr>
      <w:r>
        <w:rPr>
          <w:rFonts w:ascii="Arial" w:cs="Arial" w:eastAsia="Arial" w:hAnsi="Arial"/>
          <w:b/>
          <w:bCs/>
          <w:color w:val="1A1A2E"/>
          <w:sz w:val="26"/>
          <w:szCs w:val="26"/>
        </w:rPr>
        <w:t xml:space="preserve">4.3  ROI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Metric</w:t>
            </w:r>
          </w:p>
        </w:tc>
        <w:tc>
          <w:tcPr>
            <w:tcW w:type="dxa" w:w="1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Year 0</w:t>
            </w:r>
          </w:p>
        </w:tc>
        <w:tc>
          <w:tcPr>
            <w:tcW w:type="dxa" w:w="1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Year 1</w:t>
            </w:r>
          </w:p>
        </w:tc>
        <w:tc>
          <w:tcPr>
            <w:tcW w:type="dxa" w:w="1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Year 2</w:t>
            </w:r>
          </w:p>
        </w:tc>
        <w:tc>
          <w:tcPr>
            <w:tcW w:type="dxa" w:w="1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Year 3</w:t>
            </w:r>
          </w:p>
        </w:tc>
        <w:tc>
          <w:tcPr>
            <w:tcW w:type="dxa" w:w="1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Year 4+</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8A"/>
                <w:sz w:val="18"/>
                <w:szCs w:val="18"/>
              </w:rPr>
              <w:t xml:space="preserve">Migration Cost</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($1.2M)</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($200K)</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($100K)</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($80K)</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($80K)</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8A"/>
                <w:sz w:val="18"/>
                <w:szCs w:val="18"/>
              </w:rPr>
              <w:t xml:space="preserve">Annual Savings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$300K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$600K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$755K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$755K</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8A"/>
                <w:sz w:val="18"/>
                <w:szCs w:val="18"/>
              </w:rPr>
              <w:t xml:space="preserve">Cumulative Net</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($1.2M)</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($1.1M)</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($600K)</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$75K</w:t>
            </w:r>
          </w:p>
        </w:tc>
        <w:tc>
          <w:tcPr>
            <w:tcW w:type="dxa" w:w="1560"/>
            <w:tcBorders>
              <w:top w:val="single" w:color="CCCCCC" w:sz="1"/>
              <w:left w:val="single" w:color="CCCCCC" w:sz="1"/>
              <w:bottom w:val="single" w:color="CCCCCC" w:sz="1"/>
              <w:right w:val="single" w:color="CCCCCC" w:sz="1"/>
            </w:tcBorders>
            <w:shd w:fill="F7F9FC"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$750K+</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pPr>
              <w:jc w:val="center"/>
            </w:pPr>
            <w:r>
              <w:rPr>
                <w:rFonts w:ascii="Arial" w:cs="Arial" w:eastAsia="Arial" w:hAnsi="Arial"/>
                <w:b/>
                <w:bCs/>
                <w:color w:val="1B4F8A"/>
                <w:sz w:val="18"/>
                <w:szCs w:val="18"/>
              </w:rPr>
              <w:t xml:space="preserve">ROI 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Investment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Investment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val="false"/>
                <w:bCs w:val="false"/>
                <w:color w:val="444444"/>
                <w:sz w:val="18"/>
                <w:szCs w:val="18"/>
              </w:rPr>
              <w:t xml:space="preserve">Break-even approaching</w:t>
            </w:r>
          </w:p>
        </w:tc>
        <w:tc>
          <w:tcPr>
            <w:tcW w:type="dxa" w:w="156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POSITIVE ROI</w:t>
            </w:r>
          </w:p>
        </w:tc>
        <w:tc>
          <w:tcPr>
            <w:tcW w:type="dxa" w:w="1560"/>
            <w:tcBorders>
              <w:top w:val="single" w:color="CCCCCC" w:sz="1"/>
              <w:left w:val="single" w:color="CCCCCC" w:sz="1"/>
              <w:bottom w:val="single" w:color="CCCCCC" w:sz="1"/>
              <w:right w:val="single" w:color="CCCCCC" w:sz="1"/>
            </w:tcBorders>
            <w:shd w:fill="EAFAF1"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Full ROI achieved</w:t>
            </w:r>
          </w:p>
        </w:tc>
      </w:tr>
    </w:tbl>
    <w:p>
      <w:pPr>
        <w:spacing w:before="60" w:after="0"/>
      </w:pPr>
      <w:r>
        <w:t xml:space="preserve"/>
      </w:r>
    </w:p>
    <w:p>
      <w:pPr>
        <w:spacing w:before="60" w:after="80"/>
        <w:jc w:val="left"/>
      </w:pPr>
      <w:r>
        <w:rPr>
          <w:rFonts w:ascii="Arial" w:cs="Arial" w:eastAsia="Arial" w:hAnsi="Arial"/>
          <w:b w:val="false"/>
          <w:bCs w:val="false"/>
          <w:i/>
          <w:iCs/>
          <w:color w:val="666666"/>
          <w:sz w:val="22"/>
          <w:szCs w:val="22"/>
        </w:rPr>
        <w:t xml:space="preserve">Based on mid-range migration cost of USD 1.2M and average annual savings of USD 755K, full ROI is typically achieved in 2.5 to 3 years.</w:t>
      </w:r>
    </w:p>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5.  Real-World Case References</w:t>
      </w:r>
    </w:p>
    <w:p>
      <w:pPr>
        <w:pStyle w:val="Heading2"/>
        <w:spacing w:before="320" w:after="120"/>
      </w:pPr>
      <w:r>
        <w:rPr>
          <w:rFonts w:ascii="Arial" w:cs="Arial" w:eastAsia="Arial" w:hAnsi="Arial"/>
          <w:b/>
          <w:bCs/>
          <w:color w:val="1A1A2E"/>
          <w:sz w:val="26"/>
          <w:szCs w:val="26"/>
        </w:rPr>
        <w:t xml:space="preserve">5.1  Lessons from Large-Scale ERP Migrations</w:t>
      </w:r>
    </w:p>
    <w:p>
      <w:pPr>
        <w:spacing w:before="60" w:after="80"/>
        <w:jc w:val="left"/>
      </w:pPr>
      <w:r>
        <w:rPr>
          <w:rFonts w:ascii="Arial" w:cs="Arial" w:eastAsia="Arial" w:hAnsi="Arial"/>
          <w:b w:val="false"/>
          <w:bCs w:val="false"/>
          <w:i w:val="false"/>
          <w:iCs w:val="false"/>
          <w:color w:val="444444"/>
          <w:sz w:val="22"/>
          <w:szCs w:val="22"/>
        </w:rPr>
        <w:t xml:space="preserve">The following cases are drawn from publicly documented migrations. While these organisations are larger than a typical mid-size enterprise, the principles and failure modes are directly transferable.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00"/>
              <w:bottom w:type="dxa" w:w="160"/>
              <w:right w:type="dxa" w:w="200"/>
            </w:tcMar>
          </w:tcPr>
          <w:p>
            <w:pPr>
              <w:spacing w:before="0" w:after="80"/>
            </w:pPr>
            <w:r>
              <w:rPr>
                <w:rFonts w:ascii="Arial" w:cs="Arial" w:eastAsia="Arial" w:hAnsi="Arial"/>
                <w:b/>
                <w:bCs/>
                <w:color w:val="1B4F8A"/>
                <w:sz w:val="22"/>
                <w:szCs w:val="22"/>
              </w:rPr>
              <w:t xml:space="preserve">Case 1: Unilever  |  PeopleSoft to SAP Cloud</w:t>
            </w:r>
          </w:p>
          <w:p>
            <w:pPr>
              <w:spacing w:before="30" w:after="30"/>
            </w:pPr>
            <w:r>
              <w:rPr>
                <w:rFonts w:ascii="Arial" w:cs="Arial" w:eastAsia="Arial" w:hAnsi="Arial"/>
                <w:color w:val="1A1A2E"/>
                <w:sz w:val="21"/>
                <w:szCs w:val="21"/>
              </w:rPr>
              <w:t xml:space="preserve">Organisation: Unilever (global FMCG, 190,000 employees across 190 countries)</w:t>
            </w:r>
          </w:p>
          <w:p>
            <w:pPr>
              <w:spacing w:before="30" w:after="30"/>
            </w:pPr>
            <w:r>
              <w:rPr>
                <w:rFonts w:ascii="Arial" w:cs="Arial" w:eastAsia="Arial" w:hAnsi="Arial"/>
                <w:color w:val="1A1A2E"/>
                <w:sz w:val="21"/>
                <w:szCs w:val="21"/>
              </w:rPr>
              <w:t xml:space="preserve">Migration: Fragmented legacy ERP including PeopleSoft HR to SAP S/4HANA Cloud</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Key Lessons:</w:t>
            </w:r>
          </w:p>
          <w:p>
            <w:pPr>
              <w:spacing w:before="30" w:after="30"/>
            </w:pPr>
            <w:r>
              <w:rPr>
                <w:rFonts w:ascii="Arial" w:cs="Arial" w:eastAsia="Arial" w:hAnsi="Arial"/>
                <w:color w:val="1A1A2E"/>
                <w:sz w:val="21"/>
                <w:szCs w:val="21"/>
              </w:rPr>
              <w:t xml:space="preserve">1. Standardised business processes BEFORE migration rather than replicating local variations. Reduced customisations by 60%.</w:t>
            </w:r>
          </w:p>
          <w:p>
            <w:pPr>
              <w:spacing w:before="30" w:after="30"/>
            </w:pPr>
            <w:r>
              <w:rPr>
                <w:rFonts w:ascii="Arial" w:cs="Arial" w:eastAsia="Arial" w:hAnsi="Arial"/>
                <w:color w:val="1A1A2E"/>
                <w:sz w:val="21"/>
                <w:szCs w:val="21"/>
              </w:rPr>
              <w:t xml:space="preserve">2. Dedicated 40% of total project budget to training and user adoption activities.</w:t>
            </w:r>
          </w:p>
          <w:p>
            <w:pPr>
              <w:spacing w:before="30" w:after="30"/>
            </w:pPr>
            <w:r>
              <w:rPr>
                <w:rFonts w:ascii="Arial" w:cs="Arial" w:eastAsia="Arial" w:hAnsi="Arial"/>
                <w:color w:val="1A1A2E"/>
                <w:sz w:val="21"/>
                <w:szCs w:val="21"/>
              </w:rPr>
              <w:t xml:space="preserve">3. Chose a phased, region-by-region rollout over 4 years instead of a big bang approach.</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Outcome: 30% reduction in HR process costs. Real-time workforce analytics across all markets.</w:t>
            </w:r>
          </w:p>
          <w:p>
            <w:pPr>
              <w:spacing w:before="30" w:after="30"/>
            </w:pPr>
            <w:r>
              <w:rPr>
                <w:rFonts w:ascii="Arial" w:cs="Arial" w:eastAsia="Arial" w:hAnsi="Arial"/>
                <w:color w:val="1A1A2E"/>
                <w:sz w:val="21"/>
                <w:szCs w:val="21"/>
              </w:rPr>
              <w:t xml:space="preserve">Source: SAP Case Study Library, 2022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60"/>
              <w:left w:type="dxa" w:w="200"/>
              <w:bottom w:type="dxa" w:w="160"/>
              <w:right w:type="dxa" w:w="200"/>
            </w:tcMar>
          </w:tcPr>
          <w:p>
            <w:pPr>
              <w:spacing w:before="0" w:after="80"/>
            </w:pPr>
            <w:r>
              <w:rPr>
                <w:rFonts w:ascii="Arial" w:cs="Arial" w:eastAsia="Arial" w:hAnsi="Arial"/>
                <w:b/>
                <w:bCs/>
                <w:color w:val="1E8449"/>
                <w:sz w:val="22"/>
                <w:szCs w:val="22"/>
              </w:rPr>
              <w:t xml:space="preserve">Case 2: City of Los Angeles  |  PeopleSoft to Oracle Cloud</w:t>
            </w:r>
          </w:p>
          <w:p>
            <w:pPr>
              <w:spacing w:before="30" w:after="30"/>
            </w:pPr>
            <w:r>
              <w:rPr>
                <w:rFonts w:ascii="Arial" w:cs="Arial" w:eastAsia="Arial" w:hAnsi="Arial"/>
                <w:color w:val="1A1A2E"/>
                <w:sz w:val="21"/>
                <w:szCs w:val="21"/>
              </w:rPr>
              <w:t xml:space="preserve">Organisation: City of Los Angeles, USA (public sector, 50,000 employees)</w:t>
            </w:r>
          </w:p>
          <w:p>
            <w:pPr>
              <w:spacing w:before="30" w:after="30"/>
            </w:pPr>
            <w:r>
              <w:rPr>
                <w:rFonts w:ascii="Arial" w:cs="Arial" w:eastAsia="Arial" w:hAnsi="Arial"/>
                <w:color w:val="1A1A2E"/>
                <w:sz w:val="21"/>
                <w:szCs w:val="21"/>
              </w:rPr>
              <w:t xml:space="preserve">Migration: PeopleSoft HR and Finance to Oracle Cloud HCM and ERP</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Key Lessons:</w:t>
            </w:r>
          </w:p>
          <w:p>
            <w:pPr>
              <w:spacing w:before="30" w:after="30"/>
            </w:pPr>
            <w:r>
              <w:rPr>
                <w:rFonts w:ascii="Arial" w:cs="Arial" w:eastAsia="Arial" w:hAnsi="Arial"/>
                <w:color w:val="1A1A2E"/>
                <w:sz w:val="21"/>
                <w:szCs w:val="21"/>
              </w:rPr>
              <w:t xml:space="preserve">1. Data quality audit found 23% of employee records had incomplete or inconsistent data. Cleansing this before migration prevented significant post go-live issues.</w:t>
            </w:r>
          </w:p>
          <w:p>
            <w:pPr>
              <w:spacing w:before="30" w:after="30"/>
            </w:pPr>
            <w:r>
              <w:rPr>
                <w:rFonts w:ascii="Arial" w:cs="Arial" w:eastAsia="Arial" w:hAnsi="Arial"/>
                <w:color w:val="1A1A2E"/>
                <w:sz w:val="21"/>
                <w:szCs w:val="21"/>
              </w:rPr>
              <w:t xml:space="preserve">2. Over 200 department-level Excel shadow systems were formally identified and retired as part of the project.</w:t>
            </w:r>
          </w:p>
          <w:p>
            <w:pPr>
              <w:spacing w:before="30" w:after="30"/>
            </w:pPr>
            <w:r>
              <w:rPr>
                <w:rFonts w:ascii="Arial" w:cs="Arial" w:eastAsia="Arial" w:hAnsi="Arial"/>
                <w:color w:val="1A1A2E"/>
                <w:sz w:val="21"/>
                <w:szCs w:val="21"/>
              </w:rPr>
              <w:t xml:space="preserve">3. 180 super users were trained across 44 city departments, creating an internal adoption network.</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Outcome: USD 12M in annual operational savings. Employee self-service adoption of 87% within 6 months.</w:t>
            </w:r>
          </w:p>
          <w:p>
            <w:pPr>
              <w:spacing w:before="30" w:after="30"/>
            </w:pPr>
            <w:r>
              <w:rPr>
                <w:rFonts w:ascii="Arial" w:cs="Arial" w:eastAsia="Arial" w:hAnsi="Arial"/>
                <w:color w:val="1A1A2E"/>
                <w:sz w:val="21"/>
                <w:szCs w:val="21"/>
              </w:rPr>
              <w:t xml:space="preserve">Source: Oracle Customer Success Story, 2023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60"/>
              <w:left w:type="dxa" w:w="200"/>
              <w:bottom w:type="dxa" w:w="160"/>
              <w:right w:type="dxa" w:w="200"/>
            </w:tcMar>
          </w:tcPr>
          <w:p>
            <w:pPr>
              <w:spacing w:before="0" w:after="80"/>
            </w:pPr>
            <w:r>
              <w:rPr>
                <w:rFonts w:ascii="Arial" w:cs="Arial" w:eastAsia="Arial" w:hAnsi="Arial"/>
                <w:b/>
                <w:bCs/>
                <w:color w:val="CA6F1E"/>
                <w:sz w:val="22"/>
                <w:szCs w:val="22"/>
              </w:rPr>
              <w:t xml:space="preserve">Case 3: Mid-Size Manufacturing Firm  |  PeopleSoft 9.1 to Cloud ERP (Anonymised)</w:t>
            </w:r>
          </w:p>
          <w:p>
            <w:pPr>
              <w:spacing w:before="30" w:after="30"/>
            </w:pPr>
            <w:r>
              <w:rPr>
                <w:rFonts w:ascii="Arial" w:cs="Arial" w:eastAsia="Arial" w:hAnsi="Arial"/>
                <w:color w:val="1A1A2E"/>
                <w:sz w:val="21"/>
                <w:szCs w:val="21"/>
              </w:rPr>
              <w:t xml:space="preserve">Organisation: Mid-size manufacturing firm, 800 employees, 3 sites across 2 countries</w:t>
            </w:r>
          </w:p>
          <w:p>
            <w:pPr>
              <w:spacing w:before="30" w:after="30"/>
            </w:pPr>
            <w:r>
              <w:rPr>
                <w:rFonts w:ascii="Arial" w:cs="Arial" w:eastAsia="Arial" w:hAnsi="Arial"/>
                <w:color w:val="1A1A2E"/>
                <w:sz w:val="21"/>
                <w:szCs w:val="21"/>
              </w:rPr>
              <w:t xml:space="preserve">Note: Details anonymised. Based on consulting engagement experience at NTT DATA.</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Key Lessons:</w:t>
            </w:r>
          </w:p>
          <w:p>
            <w:pPr>
              <w:spacing w:before="30" w:after="30"/>
            </w:pPr>
            <w:r>
              <w:rPr>
                <w:rFonts w:ascii="Arial" w:cs="Arial" w:eastAsia="Arial" w:hAnsi="Arial"/>
                <w:color w:val="1A1A2E"/>
                <w:sz w:val="21"/>
                <w:szCs w:val="21"/>
              </w:rPr>
              <w:t xml:space="preserve">1. Of 47 PeopleSoft customisations in active use, only 12 were business-critical post fit-gap analysis. Retiring the remaining 35 simplified the migration significantly.</w:t>
            </w:r>
          </w:p>
          <w:p>
            <w:pPr>
              <w:spacing w:before="30" w:after="30"/>
            </w:pPr>
            <w:r>
              <w:rPr>
                <w:rFonts w:ascii="Arial" w:cs="Arial" w:eastAsia="Arial" w:hAnsi="Arial"/>
                <w:color w:val="1A1A2E"/>
                <w:sz w:val="21"/>
                <w:szCs w:val="21"/>
              </w:rPr>
              <w:t xml:space="preserve">2. The project experienced a 6-week delay in Phase 3 due to data quality issues not fully scoped in Phase 1, reinforcing the importance of adequate discovery investment.</w:t>
            </w:r>
          </w:p>
          <w:p>
            <w:pPr>
              <w:spacing w:before="30" w:after="30"/>
            </w:pPr>
            <w:r>
              <w:rPr>
                <w:rFonts w:ascii="Arial" w:cs="Arial" w:eastAsia="Arial" w:hAnsi="Arial"/>
                <w:color w:val="1A1A2E"/>
                <w:sz w:val="21"/>
                <w:szCs w:val="21"/>
              </w:rPr>
              <w:t xml:space="preserve">3. Parallel running PeopleSoft for 8 weeks post go-live proved critical when three integration failures were found in week 2.</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Outcome: 28% reduction in supply chain reporting time. Full ROI achieved in 2.7 years.</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6.  Risk Management</w:t>
      </w:r>
    </w:p>
    <w:p>
      <w:pPr>
        <w:pStyle w:val="Heading2"/>
        <w:spacing w:before="320" w:after="120"/>
      </w:pPr>
      <w:r>
        <w:rPr>
          <w:rFonts w:ascii="Arial" w:cs="Arial" w:eastAsia="Arial" w:hAnsi="Arial"/>
          <w:b/>
          <w:bCs/>
          <w:color w:val="1A1A2E"/>
          <w:sz w:val="26"/>
          <w:szCs w:val="26"/>
        </w:rPr>
        <w:t xml:space="preserve">6.1  Migration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Mitigation Strategy</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Data loss or corruption during migration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r>
              <w:rPr>
                <w:rFonts w:ascii="Arial" w:cs="Arial" w:eastAsia="Arial" w:hAnsi="Arial"/>
                <w:b/>
                <w:bCs/>
                <w:color w:val="922B21"/>
                <w:sz w:val="19"/>
                <w:szCs w:val="19"/>
              </w:rPr>
              <w:t xml:space="preserve">High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r>
              <w:rPr>
                <w:rFonts w:ascii="Arial" w:cs="Arial" w:eastAsia="Arial" w:hAnsi="Arial"/>
                <w:b/>
                <w:bCs/>
                <w:color w:val="922B21"/>
                <w:sz w:val="19"/>
                <w:szCs w:val="19"/>
              </w:rPr>
              <w:t xml:space="preserve">Critical</w:t>
            </w:r>
          </w:p>
        </w:tc>
        <w:tc>
          <w:tcPr>
            <w:tcW w:type="dxa" w:w="4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Multiple data validation checkpoints. Maintain PeopleSoft as read-only backup for 12 weeks post go-live.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User resistance and low adoption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r>
              <w:rPr>
                <w:rFonts w:ascii="Arial" w:cs="Arial" w:eastAsia="Arial" w:hAnsi="Arial"/>
                <w:b/>
                <w:bCs/>
                <w:color w:val="922B21"/>
                <w:sz w:val="19"/>
                <w:szCs w:val="19"/>
              </w:rPr>
              <w:t xml:space="preserve">High</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Invest in change management from Phase 1. Involve business users in design, not just testing.</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Scope creep extending timeline and budget</w:t>
            </w:r>
          </w:p>
        </w:tc>
        <w:tc>
          <w:tcPr>
            <w:tcW w:type="dxa" w:w="120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r>
              <w:rPr>
                <w:rFonts w:ascii="Arial" w:cs="Arial" w:eastAsia="Arial" w:hAnsi="Arial"/>
                <w:b/>
                <w:bCs/>
                <w:color w:val="922B21"/>
                <w:sz w:val="19"/>
                <w:szCs w:val="19"/>
              </w:rPr>
              <w:t xml:space="preserve">High</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High</w:t>
            </w:r>
          </w:p>
        </w:tc>
        <w:tc>
          <w:tcPr>
            <w:tcW w:type="dxa" w:w="4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Define scope boundaries in Phase 1. Use formal change request process for any additions.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Integration failures with connected systems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Medium</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Map all integrations in Phase 1. Test in isolated environment before UAT begins.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Key person dependency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Medium</w:t>
            </w:r>
          </w:p>
        </w:tc>
        <w:tc>
          <w:tcPr>
            <w:tcW w:type="dxa" w:w="1200"/>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b/>
                <w:bCs/>
                <w:color w:val="1E8449"/>
                <w:sz w:val="19"/>
                <w:szCs w:val="19"/>
              </w:rPr>
              <w:t xml:space="preserve">Medium</w:t>
            </w:r>
          </w:p>
        </w:tc>
        <w:tc>
          <w:tcPr>
            <w:tcW w:type="dxa" w:w="4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Document all decisions and configurations. Cross-train team members throughout the project.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Budget overrun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Medium</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Build 20% contingency into budget. Monthly budget tracking from Phase 1 onwards.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Vendor support limitations post go-live</w:t>
            </w:r>
          </w:p>
        </w:tc>
        <w:tc>
          <w:tcPr>
            <w:tcW w:type="dxa" w:w="1200"/>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b/>
                <w:bCs/>
                <w:color w:val="1E8449"/>
                <w:sz w:val="19"/>
                <w:szCs w:val="19"/>
              </w:rPr>
              <w:t xml:space="preserve">Low</w:t>
            </w:r>
          </w:p>
        </w:tc>
        <w:tc>
          <w:tcPr>
            <w:tcW w:type="dxa" w:w="1200"/>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b/>
                <w:bCs/>
                <w:color w:val="1E8449"/>
                <w:sz w:val="19"/>
                <w:szCs w:val="19"/>
              </w:rPr>
              <w:t xml:space="preserve">Medium</w:t>
            </w:r>
          </w:p>
        </w:tc>
        <w:tc>
          <w:tcPr>
            <w:tcW w:type="dxa" w:w="43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Negotiate SLAs in contract. Identify escalation paths before go-live date.</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7.  Success Metrics</w:t>
      </w:r>
    </w:p>
    <w:p>
      <w:pPr>
        <w:pStyle w:val="Heading2"/>
        <w:spacing w:before="320" w:after="120"/>
      </w:pPr>
      <w:r>
        <w:rPr>
          <w:rFonts w:ascii="Arial" w:cs="Arial" w:eastAsia="Arial" w:hAnsi="Arial"/>
          <w:b/>
          <w:bCs/>
          <w:color w:val="1A1A2E"/>
          <w:sz w:val="26"/>
          <w:szCs w:val="26"/>
        </w:rPr>
        <w:t xml:space="preserve">7.1  KPI Framework</w:t>
      </w:r>
    </w:p>
    <w:p>
      <w:pPr>
        <w:spacing w:before="60" w:after="80"/>
        <w:jc w:val="left"/>
      </w:pPr>
      <w:r>
        <w:rPr>
          <w:rFonts w:ascii="Arial" w:cs="Arial" w:eastAsia="Arial" w:hAnsi="Arial"/>
          <w:b w:val="false"/>
          <w:bCs w:val="false"/>
          <w:i w:val="false"/>
          <w:iCs w:val="false"/>
          <w:color w:val="444444"/>
          <w:sz w:val="22"/>
          <w:szCs w:val="22"/>
        </w:rPr>
        <w:t xml:space="preserve">Define these metrics before go-live. Without pre-agreed success criteria, it is impossible to objectively evaluate whether the migration achieved its goals.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KPI</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Target Benchmark</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System Uptime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99.5% or above in first 90 days post go-live</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Data Accuracy Rate</w:t>
            </w:r>
          </w:p>
        </w:tc>
        <w:tc>
          <w:tcPr>
            <w:tcW w:type="dxa" w:w="61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Less than 0.5% discrepancy rate in post-migration reconciliation</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User Adoption Rate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80% of users logging in independently within 30 days of go-live</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Support Ticket Volume</w:t>
            </w:r>
          </w:p>
        </w:tc>
        <w:tc>
          <w:tcPr>
            <w:tcW w:type="dxa" w:w="61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Declining week-on-week trend during 8-week hypercare period</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Process Cycle Time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Measurable reduction in purchase order creation, payroll run, and financial close</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Training Completion</w:t>
            </w:r>
          </w:p>
        </w:tc>
        <w:tc>
          <w:tcPr>
            <w:tcW w:type="dxa" w:w="61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100% of named users completing role-based training before go-live</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Infrastructure Cost Reduction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Quantified reduction versus pre-migration baseline within 12 months</w:t>
            </w:r>
          </w:p>
        </w:tc>
      </w:tr>
      <w:tr>
        <w:tc>
          <w:tcPr>
            <w:tcW w:type="dxa" w:w="32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ROI Achievement</w:t>
            </w:r>
          </w:p>
        </w:tc>
        <w:tc>
          <w:tcPr>
            <w:tcW w:type="dxa" w:w="61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Positive cumulative ROI within 36 months of go-live</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8.  Tools and Technology Guide</w:t>
      </w:r>
    </w:p>
    <w:p>
      <w:pPr>
        <w:spacing w:before="60" w:after="80"/>
        <w:jc w:val="left"/>
      </w:pPr>
      <w:r>
        <w:rPr>
          <w:rFonts w:ascii="Arial" w:cs="Arial" w:eastAsia="Arial" w:hAnsi="Arial"/>
          <w:b w:val="false"/>
          <w:bCs w:val="false"/>
          <w:i w:val="false"/>
          <w:iCs w:val="false"/>
          <w:color w:val="444444"/>
          <w:sz w:val="22"/>
          <w:szCs w:val="22"/>
        </w:rPr>
        <w:t xml:space="preserve">Selecting the right tools across all layers of the migration stack is as important as the framework itself. This section provides a practical, vendor-neutral guide to the tools most commonly used in PeopleSoft to cloud ERP migrations.</w:t>
      </w:r>
    </w:p>
    <w:p>
      <w:pPr>
        <w:spacing w:before="80" w:after="0"/>
      </w:pPr>
      <w:r>
        <w:t xml:space="preserve"/>
      </w:r>
    </w:p>
    <w:p>
      <w:pPr>
        <w:pStyle w:val="Heading2"/>
        <w:spacing w:before="320" w:after="120"/>
      </w:pPr>
      <w:r>
        <w:rPr>
          <w:rFonts w:ascii="Arial" w:cs="Arial" w:eastAsia="Arial" w:hAnsi="Arial"/>
          <w:b/>
          <w:bCs/>
          <w:color w:val="1A1A2E"/>
          <w:sz w:val="26"/>
          <w:szCs w:val="26"/>
        </w:rPr>
        <w:t xml:space="preserve">8.1  Cloud ERP Vendor Comparison</w:t>
      </w:r>
    </w:p>
    <w:p>
      <w:pPr>
        <w:spacing w:before="60" w:after="80"/>
        <w:jc w:val="left"/>
      </w:pPr>
      <w:r>
        <w:rPr>
          <w:rFonts w:ascii="Arial" w:cs="Arial" w:eastAsia="Arial" w:hAnsi="Arial"/>
          <w:b w:val="false"/>
          <w:bCs w:val="false"/>
          <w:i w:val="false"/>
          <w:iCs w:val="false"/>
          <w:color w:val="444444"/>
          <w:sz w:val="22"/>
          <w:szCs w:val="22"/>
        </w:rPr>
        <w:t xml:space="preserve">The four dominant cloud ERP vendors for mid-size enterprises are Oracle Cloud, SAP S/4HANA Cloud, Workday, and Microsoft Dynamics 365. Each has distinct strengths, pricing models, and PeopleSoft migration support levels.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2000"/>
      </w:tblGrid>
      <w:tr>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19"/>
                <w:szCs w:val="19"/>
              </w:rPr>
              <w:t xml:space="preserve">Criterion</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19"/>
                <w:szCs w:val="19"/>
              </w:rPr>
              <w:t xml:space="preserve">Oracle Cloud</w:t>
            </w:r>
          </w:p>
        </w:tc>
        <w:tc>
          <w:tcPr>
            <w:tcW w:type="dxa" w:w="1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19"/>
                <w:szCs w:val="19"/>
              </w:rPr>
              <w:t xml:space="preserve">SAP S/4HANA</w:t>
            </w:r>
          </w:p>
        </w:tc>
        <w:tc>
          <w:tcPr>
            <w:tcW w:type="dxa" w:w="19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19"/>
                <w:szCs w:val="19"/>
              </w:rPr>
              <w:t xml:space="preserve">Workday</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19"/>
                <w:szCs w:val="19"/>
              </w:rPr>
              <w:t xml:space="preserve">Microsoft D365</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PeopleSoft Migration Support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Excellent. Oracle offers dedicated PeopleSoft-to-Cloud tools and certified migration paths.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Good. SAP provides migration accelerators but PeopleSoft mapping requires effort.</w:t>
            </w:r>
          </w:p>
        </w:tc>
        <w:tc>
          <w:tcPr>
            <w:tcW w:type="dxa" w:w="1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Limited. No PeopleSoft-specific tools. Requires full re-implementation approach.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Moderate. Microsoft partners offer PeopleSoft connectors but no native tooling.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Best For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Orgs already in Oracle ecosystem. Finance and HR-heavy migrations.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Large enterprises with complex supply chain and manufacturing processes.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HR and workforce management focused organisations.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Microsoft-centric organisations already using Azure, Teams, or Office 365.</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Modules Covered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HR, Finance, Procurement, Supply Chain, Projects, Analytics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Finance, Supply Chain, Manufacturing, HR, Analytics</w:t>
            </w:r>
          </w:p>
        </w:tc>
        <w:tc>
          <w:tcPr>
            <w:tcW w:type="dxa" w:w="1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HR, Payroll, Finance, Planning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Finance, HR, Supply Chain, Sales, Customer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Pricing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Per user per month subscription. Module-based licensing.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Per user subscription. Significant implementation costs.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Per user per month. Transparent pricing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Per user per month. Flexible bundle options.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Implementation Time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9 to 18 months for mid-size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12 to 24 months for mid-size</w:t>
            </w:r>
          </w:p>
        </w:tc>
        <w:tc>
          <w:tcPr>
            <w:tcW w:type="dxa" w:w="19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6 to 12 months for HR-focused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444444"/>
                <w:sz w:val="18"/>
                <w:szCs w:val="18"/>
              </w:rPr>
              <w:t xml:space="preserve">9 to 18 months for mid-size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AI Capabilities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Strong. Native AI in Oracle Analytics, ERP forecasting, and HR insights.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Strong. SAP AI embedded across modules via Business AI suite.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Strong. Workday AI for workforce planning and finance insights.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8"/>
                <w:szCs w:val="18"/>
              </w:rPr>
              <w:t xml:space="preserve">Strong. Microsoft Copilot integration across all D365 modules.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B4F8A"/>
                <w:sz w:val="19"/>
                <w:szCs w:val="19"/>
              </w:rPr>
              <w:t xml:space="preserve">Recommended For This Framework</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1B4F8A"/>
                <w:sz w:val="19"/>
                <w:szCs w:val="19"/>
              </w:rPr>
              <w:t xml:space="preserve">BEST FIT for PeopleSoft migrations. Oracle ecosystem continuity reduces migration complexity.</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1B4F8A"/>
                <w:sz w:val="19"/>
                <w:szCs w:val="19"/>
              </w:rPr>
              <w:t xml:space="preserve">Strong option if process redesign is planned alongside migration.</w:t>
            </w:r>
          </w:p>
        </w:tc>
        <w:tc>
          <w:tcPr>
            <w:tcW w:type="dxa" w:w="198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1B4F8A"/>
                <w:sz w:val="19"/>
                <w:szCs w:val="19"/>
              </w:rPr>
              <w:t xml:space="preserve">Consider only if HR is the primary migration scope.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1B4F8A"/>
                <w:sz w:val="19"/>
                <w:szCs w:val="19"/>
              </w:rPr>
              <w:t xml:space="preserve">Strong if Microsoft ecosystem is already in place.</w:t>
            </w:r>
          </w:p>
        </w:tc>
      </w:tr>
    </w:tbl>
    <w:p>
      <w:pPr>
        <w:spacing w:before="60" w:after="0"/>
      </w:pPr>
      <w:r>
        <w:t xml:space="preserve"/>
      </w:r>
    </w:p>
    <w:p>
      <w:pPr>
        <w:spacing w:before="60" w:after="80"/>
        <w:jc w:val="left"/>
      </w:pPr>
      <w:r>
        <w:rPr>
          <w:rFonts w:ascii="Arial" w:cs="Arial" w:eastAsia="Arial" w:hAnsi="Arial"/>
          <w:b w:val="false"/>
          <w:bCs w:val="false"/>
          <w:i/>
          <w:iCs/>
          <w:color w:val="666666"/>
          <w:sz w:val="22"/>
          <w:szCs w:val="22"/>
        </w:rPr>
        <w:t xml:space="preserve">Note: Oracle Cloud is the most natural migration path for PeopleSoft organisations due to Oracle's dedicated Cloud Migration Program (CMP) and PeopleSoft-to-Cloud data mapping templates.</w:t>
      </w:r>
    </w:p>
    <w:p>
      <w:pPr>
        <w:spacing w:before="120" w:after="0"/>
      </w:pPr>
      <w:r>
        <w:t xml:space="preserve"/>
      </w:r>
    </w:p>
    <w:p>
      <w:pPr>
        <w:pStyle w:val="Heading2"/>
        <w:spacing w:before="320" w:after="120"/>
      </w:pPr>
      <w:r>
        <w:rPr>
          <w:rFonts w:ascii="Arial" w:cs="Arial" w:eastAsia="Arial" w:hAnsi="Arial"/>
          <w:b/>
          <w:bCs/>
          <w:color w:val="1A1A2E"/>
          <w:sz w:val="26"/>
          <w:szCs w:val="26"/>
        </w:rPr>
        <w:t xml:space="preserve">8.2  Oracle's Official Migration Tools</w:t>
      </w:r>
    </w:p>
    <w:p>
      <w:pPr>
        <w:spacing w:before="60" w:after="80"/>
        <w:jc w:val="left"/>
      </w:pPr>
      <w:r>
        <w:rPr>
          <w:rFonts w:ascii="Arial" w:cs="Arial" w:eastAsia="Arial" w:hAnsi="Arial"/>
          <w:b w:val="false"/>
          <w:bCs w:val="false"/>
          <w:i w:val="false"/>
          <w:iCs w:val="false"/>
          <w:color w:val="444444"/>
          <w:sz w:val="22"/>
          <w:szCs w:val="22"/>
        </w:rPr>
        <w:t xml:space="preserve">Oracle provides two official, purpose-built tools for PeopleSoft to OCI migration. These should always be evaluated first before considering third-party alternatives.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00"/>
              <w:bottom w:type="dxa" w:w="160"/>
              <w:right w:type="dxa" w:w="200"/>
            </w:tcMar>
          </w:tcPr>
          <w:p>
            <w:pPr>
              <w:spacing w:before="0" w:after="80"/>
            </w:pPr>
            <w:r>
              <w:rPr>
                <w:rFonts w:ascii="Arial" w:cs="Arial" w:eastAsia="Arial" w:hAnsi="Arial"/>
                <w:b/>
                <w:bCs/>
                <w:color w:val="1B4F8A"/>
                <w:sz w:val="22"/>
                <w:szCs w:val="22"/>
              </w:rPr>
              <w:t xml:space="preserve">PeopleSoft Cloud Manager (Path A Tool)</w:t>
            </w:r>
          </w:p>
          <w:p>
            <w:pPr>
              <w:spacing w:before="30" w:after="30"/>
            </w:pPr>
            <w:r>
              <w:rPr>
                <w:rFonts w:ascii="Arial" w:cs="Arial" w:eastAsia="Arial" w:hAnsi="Arial"/>
                <w:color w:val="1A1A2E"/>
                <w:sz w:val="21"/>
                <w:szCs w:val="21"/>
              </w:rPr>
              <w:t xml:space="preserve">Available for: PeopleSoft 9.2 and PeopleTools 8.58 or later</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PeopleSoft Cloud Manager is Oracle's application-aware migration and administration tool that automates the process of migrating, deploying, and managing PeopleSoft environments on OCI.</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Key capabilities:</w:t>
            </w:r>
          </w:p>
          <w:p>
            <w:pPr>
              <w:spacing w:before="30" w:after="30"/>
            </w:pPr>
            <w:r>
              <w:rPr>
                <w:rFonts w:ascii="Arial" w:cs="Arial" w:eastAsia="Arial" w:hAnsi="Arial"/>
                <w:color w:val="1A1A2E"/>
                <w:sz w:val="21"/>
                <w:szCs w:val="21"/>
              </w:rPr>
              <w:t xml:space="preserve">- Automates migration of PeopleSoft application and database to OCI infrastructure</w:t>
            </w:r>
          </w:p>
          <w:p>
            <w:pPr>
              <w:spacing w:before="30" w:after="30"/>
            </w:pPr>
            <w:r>
              <w:rPr>
                <w:rFonts w:ascii="Arial" w:cs="Arial" w:eastAsia="Arial" w:hAnsi="Arial"/>
                <w:color w:val="1A1A2E"/>
                <w:sz w:val="21"/>
                <w:szCs w:val="21"/>
              </w:rPr>
              <w:t xml:space="preserve">- Manages ongoing PeopleSoft lifecycle: patching, upgrades, environment cloning</w:t>
            </w:r>
          </w:p>
          <w:p>
            <w:pPr>
              <w:spacing w:before="30" w:after="30"/>
            </w:pPr>
            <w:r>
              <w:rPr>
                <w:rFonts w:ascii="Arial" w:cs="Arial" w:eastAsia="Arial" w:hAnsi="Arial"/>
                <w:color w:val="1A1A2E"/>
                <w:sz w:val="21"/>
                <w:szCs w:val="21"/>
              </w:rPr>
              <w:t xml:space="preserve">- Configures application services after migration is complete</w:t>
            </w:r>
          </w:p>
          <w:p>
            <w:pPr>
              <w:spacing w:before="30" w:after="30"/>
            </w:pPr>
            <w:r>
              <w:rPr>
                <w:rFonts w:ascii="Arial" w:cs="Arial" w:eastAsia="Arial" w:hAnsi="Arial"/>
                <w:color w:val="1A1A2E"/>
                <w:sz w:val="21"/>
                <w:szCs w:val="21"/>
              </w:rPr>
              <w:t xml:space="preserve">- Supports Zero Downtime Migration (ZDM) to minimise business disruption</w:t>
            </w:r>
          </w:p>
          <w:p>
            <w:pPr>
              <w:spacing w:before="30" w:after="30"/>
            </w:pPr>
            <w:r>
              <w:rPr>
                <w:rFonts w:ascii="Arial" w:cs="Arial" w:eastAsia="Arial" w:hAnsi="Arial"/>
                <w:color w:val="1A1A2E"/>
                <w:sz w:val="21"/>
                <w:szCs w:val="21"/>
              </w:rPr>
              <w:t xml:space="preserve">- Handles all OCI services the PeopleSoft application needs to run seamlessly</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Official resource: docs.oracle.com/cd/E52319_01/infoportal/cloudmgr.html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60"/>
              <w:left w:type="dxa" w:w="200"/>
              <w:bottom w:type="dxa" w:w="160"/>
              <w:right w:type="dxa" w:w="200"/>
            </w:tcMar>
          </w:tcPr>
          <w:p>
            <w:pPr>
              <w:spacing w:before="0" w:after="80"/>
            </w:pPr>
            <w:r>
              <w:rPr>
                <w:rFonts w:ascii="Arial" w:cs="Arial" w:eastAsia="Arial" w:hAnsi="Arial"/>
                <w:b/>
                <w:bCs/>
                <w:color w:val="1E8449"/>
                <w:sz w:val="22"/>
                <w:szCs w:val="22"/>
              </w:rPr>
              <w:t xml:space="preserve">Oracle Zero Downtime Migration (ZDM) Tool</w:t>
            </w:r>
          </w:p>
          <w:p>
            <w:pPr>
              <w:spacing w:before="30" w:after="30"/>
            </w:pPr>
            <w:r>
              <w:rPr>
                <w:rFonts w:ascii="Arial" w:cs="Arial" w:eastAsia="Arial" w:hAnsi="Arial"/>
                <w:color w:val="1A1A2E"/>
                <w:sz w:val="21"/>
                <w:szCs w:val="21"/>
              </w:rPr>
              <w:t xml:space="preserve">Available for: Both Path A and Path B migrations</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Oracle Zero Downtime Migration is a free Oracle tool that enables PeopleSoft environments to be migrated to OCI with minimal or zero downtime, keeping the business operational throughout the migration process.</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Key capabilities:</w:t>
            </w:r>
          </w:p>
          <w:p>
            <w:pPr>
              <w:spacing w:before="30" w:after="30"/>
            </w:pPr>
            <w:r>
              <w:rPr>
                <w:rFonts w:ascii="Arial" w:cs="Arial" w:eastAsia="Arial" w:hAnsi="Arial"/>
                <w:color w:val="1A1A2E"/>
                <w:sz w:val="21"/>
                <w:szCs w:val="21"/>
              </w:rPr>
              <w:t xml:space="preserve">- Automated, scripted migration with built-in validation checkpoints</w:t>
            </w:r>
          </w:p>
          <w:p>
            <w:pPr>
              <w:spacing w:before="30" w:after="30"/>
            </w:pPr>
            <w:r>
              <w:rPr>
                <w:rFonts w:ascii="Arial" w:cs="Arial" w:eastAsia="Arial" w:hAnsi="Arial"/>
                <w:color w:val="1A1A2E"/>
                <w:sz w:val="21"/>
                <w:szCs w:val="21"/>
              </w:rPr>
              <w:t xml:space="preserve">- Supports both online (zero downtime) and offline migration modes</w:t>
            </w:r>
          </w:p>
          <w:p>
            <w:pPr>
              <w:spacing w:before="30" w:after="30"/>
            </w:pPr>
            <w:r>
              <w:rPr>
                <w:rFonts w:ascii="Arial" w:cs="Arial" w:eastAsia="Arial" w:hAnsi="Arial"/>
                <w:color w:val="1A1A2E"/>
                <w:sz w:val="21"/>
                <w:szCs w:val="21"/>
              </w:rPr>
              <w:t xml:space="preserve">- Compatible with PeopleSoft Cloud Manager for Path A migrations</w:t>
            </w:r>
          </w:p>
          <w:p>
            <w:pPr>
              <w:spacing w:before="30" w:after="30"/>
            </w:pPr>
            <w:r>
              <w:rPr>
                <w:rFonts w:ascii="Arial" w:cs="Arial" w:eastAsia="Arial" w:hAnsi="Arial"/>
                <w:color w:val="1A1A2E"/>
                <w:sz w:val="21"/>
                <w:szCs w:val="21"/>
              </w:rPr>
              <w:t xml:space="preserve">- Available for manual migrations on Path B as well</w:t>
            </w:r>
          </w:p>
          <w:p>
            <w:pPr>
              <w:spacing w:before="30" w:after="30"/>
            </w:pPr>
            <w:r>
              <w:rPr>
                <w:rFonts w:ascii="Arial" w:cs="Arial" w:eastAsia="Arial" w:hAnsi="Arial"/>
                <w:color w:val="1A1A2E"/>
                <w:sz w:val="21"/>
                <w:szCs w:val="21"/>
              </w:rPr>
              <w:t xml:space="preserve">- Reduces the risk of data loss or service interruption during cutover</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Recommended for any PeopleSoft migration where business continuity is critical.</w:t>
            </w:r>
          </w:p>
        </w:tc>
      </w:tr>
    </w:tbl>
    <w:p>
      <w:pPr>
        <w:spacing w:before="80" w:after="0"/>
      </w:pPr>
      <w:r>
        <w:t xml:space="preserve"/>
      </w:r>
    </w:p>
    <w:p>
      <w:pPr>
        <w:pStyle w:val="Heading2"/>
        <w:spacing w:before="320" w:after="120"/>
      </w:pPr>
      <w:r>
        <w:rPr>
          <w:rFonts w:ascii="Arial" w:cs="Arial" w:eastAsia="Arial" w:hAnsi="Arial"/>
          <w:b/>
          <w:bCs/>
          <w:color w:val="1A1A2E"/>
          <w:sz w:val="26"/>
          <w:szCs w:val="26"/>
        </w:rPr>
        <w:t xml:space="preserve">8.3  Additional Migration Tools and Accelerators</w:t>
      </w:r>
    </w:p>
    <w:p>
      <w:pPr>
        <w:spacing w:before="60" w:after="80"/>
        <w:jc w:val="left"/>
      </w:pPr>
      <w:r>
        <w:rPr>
          <w:rFonts w:ascii="Arial" w:cs="Arial" w:eastAsia="Arial" w:hAnsi="Arial"/>
          <w:b w:val="false"/>
          <w:bCs w:val="false"/>
          <w:i w:val="false"/>
          <w:iCs w:val="false"/>
          <w:color w:val="444444"/>
          <w:sz w:val="22"/>
          <w:szCs w:val="22"/>
        </w:rPr>
        <w:t xml:space="preserve">Beyond Oracle's native tools, the following third-party tools are widely used in PeopleSoft migrations to accelerate specific workstreams such as testing, data quality, and legacy assessment.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60"/>
        <w:gridCol w:w="40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16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Vendor</w:t>
            </w:r>
          </w:p>
        </w:tc>
        <w:tc>
          <w:tcPr>
            <w:tcW w:type="dxa" w:w="17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Best For</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Panaya CloudQuality</w:t>
            </w:r>
          </w:p>
        </w:tc>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Panaya</w:t>
            </w:r>
          </w:p>
        </w:tc>
        <w:tc>
          <w:tcPr>
            <w:tcW w:type="dxa" w:w="1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Test automation and impact analysis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AI-powered tool that analyses PeopleSoft customisations, identifies migration impact, and auto-generates test cases for the cloud environment. Significantly reduces UAT preparation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UiPath Test Suite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UiPath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Automated UAT script migration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Automates migration of manual test scripts from PeopleSoft UAT to cloud ERP test cases. Can reduce testing effort by up to 60%.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Rizing HCM Accelerator</w:t>
            </w:r>
          </w:p>
        </w:tc>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Rizing (SAP Partner)</w:t>
            </w:r>
          </w:p>
        </w:tc>
        <w:tc>
          <w:tcPr>
            <w:tcW w:type="dxa" w:w="1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PeopleSoft HR to SAP Cloud only</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Pre-built data migration templates and HR process mapping for organisations choosing SAP as the cloud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Rimini Street Assessment Tools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Rimini Street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Legacy ERP assessment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Third-party tools for PeopleSoft customisation documentation and migration readiness reporting. Useful in Phase 1 discovery.</w:t>
            </w:r>
          </w:p>
        </w:tc>
      </w:tr>
    </w:tbl>
    <w:p>
      <w:pPr>
        <w:spacing w:before="100" w:after="0"/>
      </w:pPr>
      <w:r>
        <w:t xml:space="preserve"/>
      </w:r>
    </w:p>
    <w:p>
      <w:pPr>
        <w:pStyle w:val="Heading2"/>
        <w:spacing w:before="320" w:after="120"/>
      </w:pPr>
      <w:r>
        <w:rPr>
          <w:rFonts w:ascii="Arial" w:cs="Arial" w:eastAsia="Arial" w:hAnsi="Arial"/>
          <w:b/>
          <w:bCs/>
          <w:color w:val="1A1A2E"/>
          <w:sz w:val="26"/>
          <w:szCs w:val="26"/>
        </w:rPr>
        <w:t xml:space="preserve">8.4  Oracle Certified Implementation Partners</w:t>
      </w:r>
    </w:p>
    <w:p>
      <w:pPr>
        <w:spacing w:before="60" w:after="80"/>
        <w:jc w:val="left"/>
      </w:pPr>
      <w:r>
        <w:rPr>
          <w:rFonts w:ascii="Arial" w:cs="Arial" w:eastAsia="Arial" w:hAnsi="Arial"/>
          <w:b w:val="false"/>
          <w:bCs w:val="false"/>
          <w:i w:val="false"/>
          <w:iCs w:val="false"/>
          <w:color w:val="444444"/>
          <w:sz w:val="22"/>
          <w:szCs w:val="22"/>
        </w:rPr>
        <w:t xml:space="preserve">Oracle maintains an official network of certified implementation partners for PeopleSoft to OCI migrations. Engaging a certified partner reduces project risk and ensures access to Oracle-trained consultants with PeopleSoft-specific migration experience.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Partner</w:t>
            </w:r>
          </w:p>
        </w:tc>
        <w:tc>
          <w:tcPr>
            <w:tcW w:type="dxa" w:w="35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Global Presence</w:t>
            </w:r>
          </w:p>
        </w:tc>
        <w:tc>
          <w:tcPr>
            <w:tcW w:type="dxa" w:w="35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Strength for PeopleSoft Migrations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Tata Consultancy Services (TCS)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Global, strong APAC and India presence</w:t>
            </w:r>
          </w:p>
        </w:tc>
        <w:tc>
          <w:tcPr>
            <w:tcW w:type="dxa" w:w="35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One of the largest Oracle PeopleSoft practices globally. Extensive experience with large-scale PeopleSoft to OCI migrations across HR, Finance, and Supply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Accenture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Global, strong North America and Europe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Deep Oracle Cloud expertise. Strong change management and business transformation capabilities alongside technical migration delivery.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Capgemini</w:t>
            </w:r>
          </w:p>
        </w:tc>
        <w:tc>
          <w:tcPr>
            <w:tcW w:type="dxa" w:w="35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Global, strong Europe and APAC</w:t>
            </w:r>
          </w:p>
        </w:tc>
        <w:tc>
          <w:tcPr>
            <w:tcW w:type="dxa" w:w="35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Established Oracle practice with PeopleSoft-specific migration accelerators. Strong in Finance and HR module migrations.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DXC Technology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Global, strong enterprise accounts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Specialised in complex, multi-country PeopleSoft migrations. Strong in heavily regulated industries such as government and healthcare.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Kyndryl</w:t>
            </w:r>
          </w:p>
        </w:tc>
        <w:tc>
          <w:tcPr>
            <w:tcW w:type="dxa" w:w="35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Global, strong infrastructure focus</w:t>
            </w:r>
          </w:p>
        </w:tc>
        <w:tc>
          <w:tcPr>
            <w:tcW w:type="dxa" w:w="358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Specialised in infrastructure migration and managed services. Ideal partner when OCI infrastructure management is a primary concern post-migration.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Mythics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North America focused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Oracle-exclusive partner. Deep PeopleSoft and OCI expertise with a focused, specialised practice for mid-size enterprises.</w:t>
            </w:r>
          </w:p>
        </w:tc>
      </w:tr>
    </w:tbl>
    <w:p>
      <w:pPr>
        <w:spacing w:before="60" w:after="0"/>
      </w:pPr>
      <w:r>
        <w:t xml:space="preserve"/>
      </w:r>
    </w:p>
    <w:p>
      <w:pPr>
        <w:spacing w:before="60" w:after="80"/>
        <w:jc w:val="left"/>
      </w:pPr>
      <w:r>
        <w:rPr>
          <w:rFonts w:ascii="Arial" w:cs="Arial" w:eastAsia="Arial" w:hAnsi="Arial"/>
          <w:b w:val="false"/>
          <w:bCs w:val="false"/>
          <w:i/>
          <w:iCs/>
          <w:color w:val="666666"/>
          <w:sz w:val="22"/>
          <w:szCs w:val="22"/>
        </w:rPr>
        <w:t xml:space="preserve">Full partner directory: partner-finder.oracle.com (filter by PeopleSoft expertise)</w:t>
      </w:r>
    </w:p>
    <w:p>
      <w:pPr>
        <w:spacing w:before="100" w:after="0"/>
      </w:pPr>
      <w:r>
        <w:t xml:space="preserve"/>
      </w:r>
    </w:p>
    <w:p>
      <w:pPr>
        <w:pStyle w:val="Heading2"/>
        <w:spacing w:before="320" w:after="120"/>
      </w:pPr>
      <w:r>
        <w:rPr>
          <w:rFonts w:ascii="Arial" w:cs="Arial" w:eastAsia="Arial" w:hAnsi="Arial"/>
          <w:b/>
          <w:bCs/>
          <w:color w:val="1A1A2E"/>
          <w:sz w:val="26"/>
          <w:szCs w:val="26"/>
        </w:rPr>
        <w:t xml:space="preserve">8.5  Additional Third-Party Migration Tools</w:t>
      </w:r>
    </w:p>
    <w:p>
      <w:pPr>
        <w:spacing w:before="60" w:after="80"/>
        <w:jc w:val="left"/>
      </w:pPr>
      <w:r>
        <w:rPr>
          <w:rFonts w:ascii="Arial" w:cs="Arial" w:eastAsia="Arial" w:hAnsi="Arial"/>
          <w:b w:val="false"/>
          <w:bCs w:val="false"/>
          <w:i w:val="false"/>
          <w:iCs w:val="false"/>
          <w:color w:val="444444"/>
          <w:sz w:val="22"/>
          <w:szCs w:val="22"/>
        </w:rPr>
        <w:t xml:space="preserve">The following tools round out a complete migration toolkit across testing, integration, data migration, and project management.</w:t>
      </w:r>
    </w:p>
    <w:p>
      <w:pPr>
        <w:spacing w:before="80" w:after="0"/>
      </w:pPr>
      <w:r>
        <w:t xml:space="preserve"/>
      </w:r>
    </w:p>
    <w:p>
      <w:pPr>
        <w:spacing w:before="120" w:after="0"/>
      </w:pPr>
      <w:r>
        <w:t xml:space="preserve"/>
      </w:r>
    </w:p>
    <w:p>
      <w:pPr>
        <w:pStyle w:val="Heading2"/>
        <w:spacing w:before="320" w:after="120"/>
      </w:pPr>
      <w:r>
        <w:rPr>
          <w:rFonts w:ascii="Arial" w:cs="Arial" w:eastAsia="Arial" w:hAnsi="Arial"/>
          <w:b/>
          <w:bCs/>
          <w:color w:val="1A1A2E"/>
          <w:sz w:val="26"/>
          <w:szCs w:val="26"/>
        </w:rPr>
        <w:t xml:space="preserve">8.6  Integration Middleware</w:t>
      </w:r>
    </w:p>
    <w:p>
      <w:pPr>
        <w:spacing w:before="60" w:after="80"/>
        <w:jc w:val="left"/>
      </w:pPr>
      <w:r>
        <w:rPr>
          <w:rFonts w:ascii="Arial" w:cs="Arial" w:eastAsia="Arial" w:hAnsi="Arial"/>
          <w:b w:val="false"/>
          <w:bCs w:val="false"/>
          <w:i w:val="false"/>
          <w:iCs w:val="false"/>
          <w:color w:val="444444"/>
          <w:sz w:val="22"/>
          <w:szCs w:val="22"/>
        </w:rPr>
        <w:t xml:space="preserve">ERP systems do not operate in isolation. Integration middleware connects the cloud ERP to CRM, BI tools, third-party platforms, and legacy systems that will remain in place post-migration.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960"/>
        <w:gridCol w:w="40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Vendor</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Deployment Model</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Strengths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MuleSoft Anypoint Platform</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Salesforce</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Cloud and on-premise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Industry-leading iPaaS platform. Pre-built connectors for Oracle, SAP, Workday, and Salesforce. Strong governance and API management. Best choice for complex integration landscapes.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Dell Boomi AtomSphere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Boomi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Cloud-native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Low-code integration platform with extensive pre-built connectors. Strong for mid-size enterprises due to lower complexity and cost compared to MuleSoft.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Oracle Integration Cloud (OIC)</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Oracle</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Cloud-native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Native integration platform for Oracle Cloud ERP. Best choice when migrating to Oracle Cloud. Pre-built adapters for PeopleSoft reduce integration build time significantly.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Microsoft Azure Integration Services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Microsoft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Cloud-native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Best choice for Microsoft D365 migrations. Includes Logic Apps, API Management, and Service Bus. Strong if Azure is already the cloud infrastructure provider.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Workato</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Workato</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Cloud-native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AI-powered integration and automation platform. Growing adoption among mid-size enterprises for its no-code approach and competitive pricing.</w:t>
            </w:r>
          </w:p>
        </w:tc>
      </w:tr>
    </w:tbl>
    <w:p>
      <w:pPr>
        <w:spacing w:before="120" w:after="0"/>
      </w:pPr>
      <w:r>
        <w:t xml:space="preserve"/>
      </w:r>
    </w:p>
    <w:p>
      <w:pPr>
        <w:pStyle w:val="Heading2"/>
        <w:spacing w:before="320" w:after="120"/>
      </w:pPr>
      <w:r>
        <w:rPr>
          <w:rFonts w:ascii="Arial" w:cs="Arial" w:eastAsia="Arial" w:hAnsi="Arial"/>
          <w:b/>
          <w:bCs/>
          <w:color w:val="1A1A2E"/>
          <w:sz w:val="26"/>
          <w:szCs w:val="26"/>
        </w:rPr>
        <w:t xml:space="preserve">8.7  Data Migration Tools</w:t>
      </w:r>
    </w:p>
    <w:p>
      <w:pPr>
        <w:spacing w:before="60" w:after="80"/>
        <w:jc w:val="left"/>
      </w:pPr>
      <w:r>
        <w:rPr>
          <w:rFonts w:ascii="Arial" w:cs="Arial" w:eastAsia="Arial" w:hAnsi="Arial"/>
          <w:b w:val="false"/>
          <w:bCs w:val="false"/>
          <w:i w:val="false"/>
          <w:iCs w:val="false"/>
          <w:color w:val="444444"/>
          <w:sz w:val="22"/>
          <w:szCs w:val="22"/>
        </w:rPr>
        <w:t xml:space="preserve">Data migration is the highest-risk technical activity in any ERP project. The right tooling reduces manual effort, improves data quality visibility, and provides audit trails for post-migration validation.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960"/>
        <w:gridCol w:w="40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Vendor</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Primary Use</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Strengths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Informatica Intelligent Data Management Cloud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Informatica</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Enterprise data migration and quality</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Market leader for large-scale data migration. Strong data profiling, cleansing, and lineage capabilities. Trusted by Fortune 500 companies for ERP migrations.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Talend Data Fabric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Talend (Qlik)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ETL and data quality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Open-source roots with strong community support. Cost-effective option for mid-size enterprises. Good PeopleSoft extraction connectors.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Oracle Data Integrator (ODI)</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Oracle</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Oracle-to-Oracle migrations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Native tool for Oracle Cloud migrations from PeopleSoft. Pre-built mappings for common PeopleSoft to Oracle Cloud data structures.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IBM DataStage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IBM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Complex enterprise ETL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Enterprise-grade ETL tool. Suited to organisations with complex data transformation requirements across multiple source systems.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Microsoft Azure Data Factory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Microsoft</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Cloud data integration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Best for Microsoft D365 migrations or organisations in Azure cloud. Strong integration with Azure analytics and storage services.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Trillium Data 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Syncsort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Data cleansing and profiling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Specialised data quality tool for pre-migration cleansing. Strong address validation, duplicate detection, and standardisation capabilities.</w:t>
            </w:r>
          </w:p>
        </w:tc>
      </w:tr>
    </w:tbl>
    <w:p>
      <w:pPr>
        <w:spacing w:before="120" w:after="0"/>
      </w:pPr>
      <w:r>
        <w:t xml:space="preserve"/>
      </w:r>
    </w:p>
    <w:p>
      <w:pPr>
        <w:pStyle w:val="Heading2"/>
        <w:spacing w:before="320" w:after="120"/>
      </w:pPr>
      <w:r>
        <w:rPr>
          <w:rFonts w:ascii="Arial" w:cs="Arial" w:eastAsia="Arial" w:hAnsi="Arial"/>
          <w:b/>
          <w:bCs/>
          <w:color w:val="1A1A2E"/>
          <w:sz w:val="26"/>
          <w:szCs w:val="26"/>
        </w:rPr>
        <w:t xml:space="preserve">8.8  Project Management Tools</w:t>
      </w:r>
    </w:p>
    <w:p>
      <w:pPr>
        <w:spacing w:before="60" w:after="80"/>
        <w:jc w:val="left"/>
      </w:pPr>
      <w:r>
        <w:rPr>
          <w:rFonts w:ascii="Arial" w:cs="Arial" w:eastAsia="Arial" w:hAnsi="Arial"/>
          <w:b w:val="false"/>
          <w:bCs w:val="false"/>
          <w:i w:val="false"/>
          <w:iCs w:val="false"/>
          <w:color w:val="444444"/>
          <w:sz w:val="22"/>
          <w:szCs w:val="22"/>
        </w:rPr>
        <w:t xml:space="preserve">ERP migrations require disciplined project management across workstreams, stakeholders, and timelines. The following tools are widely used in enterprise ERP projects.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960"/>
        <w:gridCol w:w="40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Vendor</w:t>
            </w:r>
          </w:p>
        </w:tc>
        <w:tc>
          <w:tcPr>
            <w:tcW w:type="dxa" w:w="19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Best For</w:t>
            </w:r>
          </w:p>
        </w:tc>
        <w:tc>
          <w:tcPr>
            <w:tcW w:type="dxa" w:w="4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Key Features for ERP Projects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Microsoft Project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Microsoft</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Enterprise project scheduling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Industry standard for ERP project scheduling. Gantt charts, resource management, critical path analysis. Widely used by consulting firms including NTT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Jira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Atlassian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Agile workstream tracking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Strong for tracking UAT defects, sprint-based configuration tasks, and integration build progress. Widely adopted in technology-led ERP projects.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ServiceNow Strategic Portfolio Management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ServiceNow</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Large programme governance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Enterprise-grade programme management. Ideal for multi-workstream ERP programmes with governance and executive reporting requirements.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Smartsheet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Smartsheet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Collaborative project tracking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Accessible alternative to MS Project. Strong for cross-functional teams that include non-technical business stakeholders. Easy to share and update.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bCs/>
                <w:color w:val="1A1A2E"/>
                <w:sz w:val="19"/>
                <w:szCs w:val="19"/>
              </w:rPr>
              <w:t xml:space="preserve">Monday.com</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Monday.com</w:t>
            </w:r>
          </w:p>
        </w:tc>
        <w:tc>
          <w:tcPr>
            <w:tcW w:type="dxa" w:w="19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Visual project management</w:t>
            </w:r>
          </w:p>
        </w:tc>
        <w:tc>
          <w:tcPr>
            <w:tcW w:type="dxa" w:w="4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Highly visual project board. Good for mid-size ERP projects where ease of adoption is prioritised over advanced scheduling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A1A2E"/>
                <w:sz w:val="19"/>
                <w:szCs w:val="19"/>
              </w:rPr>
              <w:t xml:space="preserve">Confluence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Atlassian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Project documentation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Best-in-class tool for ERP project documentation: meeting notes, decision logs, process designs, and training materials. Works seamlessly with Jira.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00"/>
              <w:bottom w:type="dxa" w:w="160"/>
              <w:right w:type="dxa" w:w="200"/>
            </w:tcMar>
          </w:tcPr>
          <w:p>
            <w:pPr>
              <w:spacing w:before="0" w:after="80"/>
            </w:pPr>
            <w:r>
              <w:rPr>
                <w:rFonts w:ascii="Arial" w:cs="Arial" w:eastAsia="Arial" w:hAnsi="Arial"/>
                <w:b/>
                <w:bCs/>
                <w:color w:val="1B4F8A"/>
                <w:sz w:val="22"/>
                <w:szCs w:val="22"/>
              </w:rPr>
              <w:t xml:space="preserve">Tool Selection Recommendation</w:t>
            </w:r>
          </w:p>
          <w:p>
            <w:pPr>
              <w:spacing w:before="30" w:after="30"/>
            </w:pPr>
            <w:r>
              <w:rPr>
                <w:rFonts w:ascii="Arial" w:cs="Arial" w:eastAsia="Arial" w:hAnsi="Arial"/>
                <w:color w:val="1A1A2E"/>
                <w:sz w:val="21"/>
                <w:szCs w:val="21"/>
              </w:rPr>
              <w:t xml:space="preserve">For Oracle Cloud migrations: Oracle CMP + Oracle Integration Cloud + Oracle Data Integrator + Microsoft Project + Jira + Confluence</w:t>
            </w:r>
          </w:p>
          <w:p>
            <w:pPr>
              <w:spacing w:before="30" w:after="30"/>
            </w:pPr>
            <w:r>
              <w:rPr>
                <w:rFonts w:ascii="Arial" w:cs="Arial" w:eastAsia="Arial" w:hAnsi="Arial"/>
                <w:color w:val="1A1A2E"/>
                <w:sz w:val="21"/>
                <w:szCs w:val="21"/>
              </w:rPr>
              <w:t xml:space="preserve">For SAP migrations: Rizing Accelerator + MuleSoft + Informatica + Microsoft Project + Jira + Confluence</w:t>
            </w:r>
          </w:p>
          <w:p>
            <w:pPr>
              <w:spacing w:before="30" w:after="30"/>
            </w:pPr>
            <w:r>
              <w:rPr>
                <w:rFonts w:ascii="Arial" w:cs="Arial" w:eastAsia="Arial" w:hAnsi="Arial"/>
                <w:color w:val="1A1A2E"/>
                <w:sz w:val="21"/>
                <w:szCs w:val="21"/>
              </w:rPr>
              <w:t xml:space="preserve">For Microsoft D365 migrations: Azure Integration Services + Azure Data Factory + Microsoft Project + Jira</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Regardless of vendor: Jira for defect tracking, Confluence for documentation, and a dedicated data quality tool are non-negotiable for enterprise ERP projects.</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9.  Conclusion</w:t>
      </w:r>
    </w:p>
    <w:p>
      <w:pPr>
        <w:spacing w:before="60" w:after="80"/>
        <w:jc w:val="left"/>
      </w:pPr>
      <w:r>
        <w:rPr>
          <w:rFonts w:ascii="Arial" w:cs="Arial" w:eastAsia="Arial" w:hAnsi="Arial"/>
          <w:b w:val="false"/>
          <w:bCs w:val="false"/>
          <w:i w:val="false"/>
          <w:iCs w:val="false"/>
          <w:color w:val="444444"/>
          <w:sz w:val="22"/>
          <w:szCs w:val="22"/>
        </w:rPr>
        <w:t xml:space="preserve">Migrating from PeopleSoft to a cloud ERP platform is one of the most significant technology decisions a mid-size enterprise will make. Done well, it delivers lasting competitive advantage through reduced costs, better data, and a technology foundation ready for AI-driven innovation.</w:t>
      </w:r>
    </w:p>
    <w:p>
      <w:pPr>
        <w:spacing w:before="60" w:after="0"/>
      </w:pPr>
      <w:r>
        <w:t xml:space="preserve"/>
      </w:r>
    </w:p>
    <w:p>
      <w:pPr>
        <w:spacing w:before="60" w:after="80"/>
        <w:jc w:val="left"/>
      </w:pPr>
      <w:r>
        <w:rPr>
          <w:rFonts w:ascii="Arial" w:cs="Arial" w:eastAsia="Arial" w:hAnsi="Arial"/>
          <w:b w:val="false"/>
          <w:bCs w:val="false"/>
          <w:i w:val="false"/>
          <w:iCs w:val="false"/>
          <w:color w:val="444444"/>
          <w:sz w:val="22"/>
          <w:szCs w:val="22"/>
        </w:rPr>
        <w:t xml:space="preserve">This framework is grounded in the realities of enterprise ERP consulting, not theoretical best practices. The five-phase approach, the emphasis on data quality and change management, and the risk register all reflect direct experience with PeopleSoft environments at enterprise scale.</w:t>
      </w:r>
    </w:p>
    <w:p>
      <w:pPr>
        <w:spacing w:before="60" w:after="0"/>
      </w:pPr>
      <w:r>
        <w:t xml:space="preserve"/>
      </w:r>
    </w:p>
    <w:p>
      <w:pPr>
        <w:spacing w:before="60" w:after="80"/>
        <w:jc w:val="left"/>
      </w:pPr>
      <w:r>
        <w:rPr>
          <w:rFonts w:ascii="Arial" w:cs="Arial" w:eastAsia="Arial" w:hAnsi="Arial"/>
          <w:b w:val="false"/>
          <w:bCs w:val="false"/>
          <w:i w:val="false"/>
          <w:iCs w:val="false"/>
          <w:color w:val="444444"/>
          <w:sz w:val="22"/>
          <w:szCs w:val="22"/>
        </w:rPr>
        <w:t xml:space="preserve">The most important insight: successful cloud ERP migration is 30% technology and 70% people and process. Organisations that invest in stakeholder alignment, data quality, and user adoption consistently outperform those that treat migration as a purely technical exercise.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00"/>
              <w:bottom w:type="dxa" w:w="160"/>
              <w:right w:type="dxa" w:w="200"/>
            </w:tcMar>
          </w:tcPr>
          <w:p>
            <w:pPr>
              <w:spacing w:before="0" w:after="80"/>
            </w:pPr>
            <w:r>
              <w:rPr>
                <w:rFonts w:ascii="Arial" w:cs="Arial" w:eastAsia="Arial" w:hAnsi="Arial"/>
                <w:b/>
                <w:bCs/>
                <w:color w:val="1B4F8A"/>
                <w:sz w:val="22"/>
                <w:szCs w:val="22"/>
              </w:rPr>
              <w:t xml:space="preserve">About the Author</w:t>
            </w:r>
          </w:p>
          <w:p>
            <w:pPr>
              <w:spacing w:before="30" w:after="30"/>
            </w:pPr>
            <w:r>
              <w:rPr>
                <w:rFonts w:ascii="Arial" w:cs="Arial" w:eastAsia="Arial" w:hAnsi="Arial"/>
                <w:color w:val="1A1A2E"/>
                <w:sz w:val="21"/>
                <w:szCs w:val="21"/>
              </w:rPr>
              <w:t xml:space="preserve">Payal Devendra Jarviya is an MBA candidate at SKKU Graduate School of Business in Seoul, South Korea, specialising in AI and Business Analytics and Marketing Analytics.</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Prior to her MBA, she spent 4 years at NTT DATA North America within the PeopleSoft Oracle practice, progressing from Graduate Trainee to Information Technology Analyst. In that role she supported enterprise PeopleSoft implementations across operations and supply chain processes, resolving 20 to 30 system issues per release cycle and collaborating across 10-member cross-functional teams to deliver on-time system deployments for global clients.</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This white paper is an independent work produced by the author drawing on that professional experience. It does not represent the views of NTT DATA or any other organisation. All frameworks, recommendations, and templates are the author's own.</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Certifications: Oracle Cloud Infrastructure 2023 Foundations Associate, Oracle Cloud Data Management 2023 Foundations Associate, AI for Managers (Microsoft and LinkedIn), Business Analysis and Process Management (Coursera), Project Management Foundations (LinkedIn Learning)</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LinkedIn: linkedin.com/in/payal-jarviya  |  Email: payaljarviya@skku.edu</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Glossary of ERP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BAU (Business As Usual)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Normal day-to-day business operations, as distinct from project or transformation activities.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Big Bang Migration</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A migration approach where all users and processes switch to the new system simultaneously on a single go-live date.</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Change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The structured process of managing the people side of change to achieve the desired business outcome from a new system.</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Cloud ERP</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Enterprise Resource Planning software hosted on remote servers, accessed via the internet, and managed by the vendor rather than the organisation's internal IT team.</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Cutover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The point at which users stop using the old system and begin using the new system. The most operationally risky moment in any migration.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Data Cleansing</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The process of detecting and correcting inaccurate, incomplete, duplicate, or improperly formatted records before migration.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ERP (Enterprise Resource Planning)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Integrated software that manages core business processes including Finance, HR, Supply Chain, and Operations in a single system.</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Fit-Gap Analysis</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A structured comparison between an organisation's required business processes and the standard functionality of a target cloud platform.</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Go-Live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The date on which the new system becomes the operational system of record for the organisation.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Hypercare</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The intensive support period immediately following go-live, typically 4 to 8 weeks, with dedicated resources to resolve issues rapidly.</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Legacy System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An older technology system still in use despite newer alternatives, often because replacing it is costly or complex.</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Master Data</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Core business data such as employee records, vendor lists, and customer accounts shared across multiple processes and systems.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Parallel Run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Running the old and new systems simultaneously after go-live to validate outputs and provide a fallback option.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PeopleSoft</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An ERP suite originally developed by PeopleSoft Inc., acquired by Oracle in 2005. Widely used for HR, Finance, and Supply Chain.</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Phased Migration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 migration approach where different modules or business units migrate sequentially in waves rather than all at once.</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ROI (Return on Investment)</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A financial metric measuring net benefit relative to cost. Expressed as a percentage or payback period in years.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SaaS (Software as a Service)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 software delivery model where applications are hosted in the cloud and accessed via subscription, not installed locally.</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Shadow System</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An unofficial system such as an Excel spreadsheet used alongside the official ERP to fill functionality gaps.</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Super User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 business user who receives advanced system training and serves as a first point of contact for peer support post go-live.</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UAT (User Acceptance Testing)</w:t>
            </w:r>
          </w:p>
        </w:tc>
        <w:tc>
          <w:tcPr>
            <w:tcW w:type="dxa" w:w="65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The final testing phase in which business users validate that the configured system meets requirements before go-live sign-off.</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Appendix A: Organisational Readiness Assessment Template</w:t>
      </w:r>
    </w:p>
    <w:p>
      <w:pPr>
        <w:spacing w:before="60" w:after="80"/>
        <w:jc w:val="left"/>
      </w:pPr>
      <w:r>
        <w:rPr>
          <w:rFonts w:ascii="Arial" w:cs="Arial" w:eastAsia="Arial" w:hAnsi="Arial"/>
          <w:b w:val="false"/>
          <w:bCs w:val="false"/>
          <w:i w:val="false"/>
          <w:iCs w:val="false"/>
          <w:color w:val="444444"/>
          <w:sz w:val="22"/>
          <w:szCs w:val="22"/>
        </w:rPr>
        <w:t xml:space="preserve">Score each dimension from 1 (not ready) to 5 (fully ready). A total score below 18 indicates the organisation needs significant preparation before beginning migration.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1400"/>
        <w:gridCol w:w="1400"/>
      </w:tblGrid>
      <w:tr>
        <w:tc>
          <w:tcPr>
            <w:tcW w:type="dxa" w:w="28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Assessment Questions</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Score (1-5)</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Actions Required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Process Documentation</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Are current-state processes documented? Are process owners identified?</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__ / 5</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Data Quality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Has a data quality assessment been done? Are data owners assigned?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__ /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Stakeholder Alignment</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Do all executive sponsors formally support the migration?</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__ / 5</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IT Capability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Does the IT team have cloud skills? Have gaps been resourced?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__ /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Budget Clarity</w:t>
            </w:r>
          </w:p>
        </w:tc>
        <w:tc>
          <w:tcPr>
            <w:tcW w:type="dxa" w:w="37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Is the full migration budget approved including 20% contingency?</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__ / 5</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Change Management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Is a change lead assigned? Is a communication plan in place?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__ /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TOTAL SCORE</w:t>
            </w:r>
          </w:p>
        </w:tc>
        <w:tc>
          <w:tcPr>
            <w:tcW w:type="dxa" w:w="37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18 to 30: Proceed.  12 to 17: Address gaps first.  Below 12: Not ready.</w:t>
            </w:r>
          </w:p>
        </w:tc>
        <w:tc>
          <w:tcPr>
            <w:tcW w:type="dxa" w:w="1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__ / 30</w:t>
            </w:r>
          </w:p>
        </w:tc>
        <w:tc>
          <w:tcPr>
            <w:tcW w:type="dxa" w:w="1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b/>
                <w:bCs/>
                <w:color w:val="1B4F8A"/>
                <w:sz w:val="20"/>
                <w:szCs w:val="20"/>
              </w:rPr>
              <w:t xml:space="preserve"/>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Appendix B: Fit-Gap Analysis Template</w:t>
      </w:r>
    </w:p>
    <w:p>
      <w:pPr>
        <w:spacing w:before="60" w:after="80"/>
        <w:jc w:val="left"/>
      </w:pPr>
      <w:r>
        <w:rPr>
          <w:rFonts w:ascii="Arial" w:cs="Arial" w:eastAsia="Arial" w:hAnsi="Arial"/>
          <w:b w:val="false"/>
          <w:bCs w:val="false"/>
          <w:i w:val="false"/>
          <w:iCs w:val="false"/>
          <w:color w:val="444444"/>
          <w:sz w:val="22"/>
          <w:szCs w:val="22"/>
        </w:rPr>
        <w:t xml:space="preserve">Complete one row per business process during Phase 2. The output directly informs implementation scope, timeline, and budget.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1160"/>
        <w:gridCol w:w="3200"/>
      </w:tblGrid>
      <w:tr>
        <w:tc>
          <w:tcPr>
            <w:tcW w:type="dxa" w:w="16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Process Area</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Process Name</w:t>
            </w:r>
          </w:p>
        </w:tc>
        <w:tc>
          <w:tcPr>
            <w:tcW w:type="dxa" w:w="1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Classification</w:t>
            </w:r>
          </w:p>
        </w:tc>
        <w:tc>
          <w:tcPr>
            <w:tcW w:type="dxa" w:w="11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Action Required</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HR</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Employee Onboarding</w:t>
            </w:r>
          </w:p>
        </w:tc>
        <w:tc>
          <w:tcPr>
            <w:tcW w:type="dxa" w:w="1400"/>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b/>
                <w:bCs/>
                <w:color w:val="1E8449"/>
                <w:sz w:val="19"/>
                <w:szCs w:val="19"/>
              </w:rPr>
              <w:t xml:space="preserve">FIT</w:t>
            </w:r>
          </w:p>
        </w:tc>
        <w:tc>
          <w:tcPr>
            <w:tcW w:type="dxa" w:w="1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High</w:t>
            </w:r>
          </w:p>
        </w:tc>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No action required. Standard cloud ERP workflow covers this.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Performance Review</w:t>
            </w:r>
          </w:p>
        </w:tc>
        <w:tc>
          <w:tcPr>
            <w:tcW w:type="dxa" w:w="14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b/>
                <w:bCs/>
                <w:color w:val="CA6F1E"/>
                <w:sz w:val="19"/>
                <w:szCs w:val="19"/>
              </w:rPr>
              <w:t xml:space="preserve">PARTIAL FIT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Minor config needed to match existing rating scale and workflow.</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Finance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Purchase Order Approval</w:t>
            </w:r>
          </w:p>
        </w:tc>
        <w:tc>
          <w:tcPr>
            <w:tcW w:type="dxa" w:w="140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r>
              <w:rPr>
                <w:rFonts w:ascii="Arial" w:cs="Arial" w:eastAsia="Arial" w:hAnsi="Arial"/>
                <w:b/>
                <w:bCs/>
                <w:color w:val="922B21"/>
                <w:sz w:val="19"/>
                <w:szCs w:val="19"/>
              </w:rPr>
              <w:t xml:space="preserve">GAP</w:t>
            </w:r>
          </w:p>
        </w:tc>
        <w:tc>
          <w:tcPr>
            <w:tcW w:type="dxa" w:w="1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High</w:t>
            </w:r>
          </w:p>
        </w:tc>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Custom approval matrix required. Estimated 3 days development.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Multi-Currency Payments</w:t>
            </w:r>
          </w:p>
        </w:tc>
        <w:tc>
          <w:tcPr>
            <w:tcW w:type="dxa" w:w="1400"/>
            <w:tcBorders>
              <w:top w:val="single" w:color="CCCCCC" w:sz="1"/>
              <w:left w:val="single" w:color="CCCCCC" w:sz="1"/>
              <w:bottom w:val="single" w:color="CCCCCC" w:sz="1"/>
              <w:right w:val="single" w:color="CCCCCC" w:sz="1"/>
            </w:tcBorders>
            <w:shd w:fill="EAFAF1" w:val="clear"/>
            <w:tcMar>
              <w:top w:type="dxa" w:w="80"/>
              <w:left w:type="dxa" w:w="150"/>
              <w:bottom w:type="dxa" w:w="80"/>
              <w:right w:type="dxa" w:w="150"/>
            </w:tcMar>
          </w:tcPr>
          <w:p>
            <w:r>
              <w:rPr>
                <w:rFonts w:ascii="Arial" w:cs="Arial" w:eastAsia="Arial" w:hAnsi="Arial"/>
                <w:b/>
                <w:bCs/>
                <w:color w:val="1E8449"/>
                <w:sz w:val="19"/>
                <w:szCs w:val="19"/>
              </w:rPr>
              <w:t xml:space="preserve">FIT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Standard functionality. No customisation needed.</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Supply Chain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Vendor Portal Integration</w:t>
            </w:r>
          </w:p>
        </w:tc>
        <w:tc>
          <w:tcPr>
            <w:tcW w:type="dxa" w:w="1400"/>
            <w:tcBorders>
              <w:top w:val="single" w:color="CCCCCC" w:sz="1"/>
              <w:left w:val="single" w:color="CCCCCC" w:sz="1"/>
              <w:bottom w:val="single" w:color="CCCCCC" w:sz="1"/>
              <w:right w:val="single" w:color="CCCCCC" w:sz="1"/>
            </w:tcBorders>
            <w:shd w:fill="FADBD8" w:val="clear"/>
            <w:tcMar>
              <w:top w:type="dxa" w:w="80"/>
              <w:left w:type="dxa" w:w="150"/>
              <w:bottom w:type="dxa" w:w="80"/>
              <w:right w:type="dxa" w:w="150"/>
            </w:tcMar>
          </w:tcPr>
          <w:p>
            <w:r>
              <w:rPr>
                <w:rFonts w:ascii="Arial" w:cs="Arial" w:eastAsia="Arial" w:hAnsi="Arial"/>
                <w:b/>
                <w:bCs/>
                <w:color w:val="922B21"/>
                <w:sz w:val="19"/>
                <w:szCs w:val="19"/>
              </w:rPr>
              <w:t xml:space="preserve">GAP</w:t>
            </w:r>
          </w:p>
        </w:tc>
        <w:tc>
          <w:tcPr>
            <w:tcW w:type="dxa" w:w="116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Medium</w:t>
            </w:r>
          </w:p>
        </w:tc>
        <w:tc>
          <w:tcPr>
            <w:tcW w:type="dxa" w:w="32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API integration with existing vendor portal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[Area]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[Process Name]</w:t>
            </w:r>
          </w:p>
        </w:tc>
        <w:tc>
          <w:tcPr>
            <w:tcW w:type="dxa" w:w="1400"/>
            <w:tcBorders>
              <w:top w:val="single" w:color="CCCCCC" w:sz="1"/>
              <w:left w:val="single" w:color="CCCCCC" w:sz="1"/>
              <w:bottom w:val="single" w:color="CCCCCC" w:sz="1"/>
              <w:right w:val="single" w:color="CCCCCC" w:sz="1"/>
            </w:tcBorders>
            <w:shd w:fill="F7F9FC" w:val="clear"/>
            <w:tcMar>
              <w:top w:type="dxa" w:w="80"/>
              <w:left w:type="dxa" w:w="150"/>
              <w:bottom w:type="dxa" w:w="80"/>
              <w:right w:type="dxa" w:w="150"/>
            </w:tcMar>
          </w:tcPr>
          <w:p>
            <w:r>
              <w:rPr>
                <w:rFonts w:ascii="Arial" w:cs="Arial" w:eastAsia="Arial" w:hAnsi="Arial"/>
                <w:b w:val="false"/>
                <w:bCs w:val="false"/>
                <w:color w:val="444444"/>
                <w:sz w:val="19"/>
                <w:szCs w:val="19"/>
              </w:rPr>
              <w:t xml:space="preserve">[FIT / PARTIAL / GAP]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[H/M/L]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44444"/>
                <w:sz w:val="19"/>
                <w:szCs w:val="19"/>
              </w:rPr>
              <w:t xml:space="preserve">[Describe required action]</w:t>
            </w:r>
          </w:p>
        </w:tc>
      </w:tr>
    </w:tbl>
    <w:p>
      <w:r>
        <w:br w:type="page"/>
      </w:r>
    </w:p>
    <w:p>
      <w:pPr>
        <w:pStyle w:val="Heading1"/>
        <w:pBdr>
          <w:bottom w:val="single" w:color="1B4F8A" w:sz="6" w:space="4"/>
        </w:pBdr>
        <w:spacing w:before="480" w:after="160"/>
      </w:pPr>
      <w:r>
        <w:rPr>
          <w:rFonts w:ascii="Arial" w:cs="Arial" w:eastAsia="Arial" w:hAnsi="Arial"/>
          <w:b/>
          <w:bCs/>
          <w:color w:val="1B4F8A"/>
          <w:sz w:val="32"/>
          <w:szCs w:val="32"/>
        </w:rPr>
        <w:t xml:space="preserve">Appendix C: UAT Sign-Off Template</w:t>
      </w:r>
    </w:p>
    <w:p>
      <w:pPr>
        <w:spacing w:before="60" w:after="80"/>
        <w:jc w:val="left"/>
      </w:pPr>
      <w:r>
        <w:rPr>
          <w:rFonts w:ascii="Arial" w:cs="Arial" w:eastAsia="Arial" w:hAnsi="Arial"/>
          <w:b w:val="false"/>
          <w:bCs w:val="false"/>
          <w:i w:val="false"/>
          <w:iCs w:val="false"/>
          <w:color w:val="444444"/>
          <w:sz w:val="22"/>
          <w:szCs w:val="22"/>
        </w:rPr>
        <w:t xml:space="preserve">This template is provided for practitioners to use on their own PeopleSoft to cloud ERP migration projects. It should be completed by the project team at the end of Phase 4 to formally record UAT results and obtain business authorisation before go-live proceeds.</w:t>
      </w:r>
    </w:p>
    <w:p>
      <w:pPr>
        <w:spacing w:before="60" w:after="0"/>
      </w:pPr>
      <w:r>
        <w:t xml:space="preserve"/>
      </w:r>
    </w:p>
    <w:p>
      <w:pPr>
        <w:spacing w:before="60" w:after="80"/>
        <w:jc w:val="left"/>
      </w:pPr>
      <w:r>
        <w:rPr>
          <w:rFonts w:ascii="Arial" w:cs="Arial" w:eastAsia="Arial" w:hAnsi="Arial"/>
          <w:b w:val="false"/>
          <w:bCs w:val="false"/>
          <w:i/>
          <w:iCs/>
          <w:color w:val="666666"/>
          <w:sz w:val="22"/>
          <w:szCs w:val="22"/>
        </w:rPr>
        <w:t xml:space="preserve">Note on this white paper: This document is an independent practitioner framework produced by the author based on enterprise consulting experience. It is not a deliverable from any specific client engagement and does not contain any proprietary or confidential client data. All case references are either publicly documented or anonymised. This template and all appendices are provided as practical tools for readers to adapt and use in their own organisations.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60"/>
              <w:left w:type="dxa" w:w="200"/>
              <w:bottom w:type="dxa" w:w="160"/>
              <w:right w:type="dxa" w:w="200"/>
            </w:tcMar>
          </w:tcPr>
          <w:p>
            <w:pPr>
              <w:spacing w:before="0" w:after="80"/>
            </w:pPr>
            <w:r>
              <w:rPr>
                <w:rFonts w:ascii="Arial" w:cs="Arial" w:eastAsia="Arial" w:hAnsi="Arial"/>
                <w:b/>
                <w:bCs/>
                <w:color w:val="1B4F8A"/>
                <w:sz w:val="22"/>
                <w:szCs w:val="22"/>
              </w:rPr>
              <w:t xml:space="preserve">How to Use This Template</w:t>
            </w:r>
          </w:p>
          <w:p>
            <w:pPr>
              <w:spacing w:before="30" w:after="30"/>
            </w:pPr>
            <w:r>
              <w:rPr>
                <w:rFonts w:ascii="Arial" w:cs="Arial" w:eastAsia="Arial" w:hAnsi="Arial"/>
                <w:color w:val="1A1A2E"/>
                <w:sz w:val="21"/>
                <w:szCs w:val="21"/>
              </w:rPr>
              <w:t xml:space="preserve">Step 1: Copy this template into your project documentation system (Confluence, SharePoint, or similar).</w:t>
            </w:r>
          </w:p>
          <w:p>
            <w:pPr>
              <w:spacing w:before="30" w:after="30"/>
            </w:pPr>
            <w:r>
              <w:rPr>
                <w:rFonts w:ascii="Arial" w:cs="Arial" w:eastAsia="Arial" w:hAnsi="Arial"/>
                <w:color w:val="1A1A2E"/>
                <w:sz w:val="21"/>
                <w:szCs w:val="21"/>
              </w:rPr>
              <w:t xml:space="preserve">Step 2: Complete all fields at the end of Phase 4 UAT execution.</w:t>
            </w:r>
          </w:p>
          <w:p>
            <w:pPr>
              <w:spacing w:before="30" w:after="30"/>
            </w:pPr>
            <w:r>
              <w:rPr>
                <w:rFonts w:ascii="Arial" w:cs="Arial" w:eastAsia="Arial" w:hAnsi="Arial"/>
                <w:color w:val="1A1A2E"/>
                <w:sz w:val="21"/>
                <w:szCs w:val="21"/>
              </w:rPr>
              <w:t xml:space="preserve">Step 3: Circulate to named business leads for review at least 5 business days before planned go-live.</w:t>
            </w:r>
          </w:p>
          <w:p>
            <w:pPr>
              <w:spacing w:before="30" w:after="30"/>
            </w:pPr>
            <w:r>
              <w:rPr>
                <w:rFonts w:ascii="Arial" w:cs="Arial" w:eastAsia="Arial" w:hAnsi="Arial"/>
                <w:color w:val="1A1A2E"/>
                <w:sz w:val="21"/>
                <w:szCs w:val="21"/>
              </w:rPr>
              <w:t xml:space="preserve">Step 4: Obtain physical or digital signatures from all named stakeholders before go-live is authorised.</w:t>
            </w:r>
          </w:p>
          <w:p>
            <w:pPr>
              <w:spacing w:before="30" w:after="30"/>
            </w:pPr>
            <w:r>
              <w:rPr>
                <w:rFonts w:ascii="Arial" w:cs="Arial" w:eastAsia="Arial" w:hAnsi="Arial"/>
                <w:color w:val="1A1A2E"/>
                <w:sz w:val="21"/>
                <w:szCs w:val="21"/>
              </w:rPr>
              <w:t xml:space="preserve">Step 5: Archive the signed document as part of your project governance record.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576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Project Name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[Your Organisation] PeopleSoft to Cloud ERP Migration</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Organisation</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[Organisation Name]</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Target Cloud ERP Platform</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[Oracle Cloud / SAP / Workday / Microsoft D365]</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Migration Path Used</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[Path A: PeopleSoft Cloud Manager / Path B: Manual Migration]</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UAT Period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[Start Date] to [End Date]</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Total Test Cases Planned</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[Number]</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Total Test Cases Executed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[Number]</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Test Execution Rate</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 (target: 100% before go-live sign-off)</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Critical Defects Found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[Number]</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Critical Defects Resolved</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[Number] (must be 100% before go-live)</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Major Defects Found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[Number]</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Major Defects Resolved</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[Number] (target: 95% before go-live)</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Minor Defects Outstanding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[Number] (acceptable with agreed post-go-live resolution plan)</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UAT Pass Criteria Met</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Yes / No</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Data Migration Validation Complete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Yes / No</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Training Completion Rate</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 (target: 100% of named users)</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Go-Live Recommendation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APPROVED TO PROCEED / NOT APPROVED — REASONS BELOW</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Reasons if Not Approved</w:t>
            </w:r>
          </w:p>
        </w:tc>
        <w:tc>
          <w:tcPr>
            <w:tcW w:type="dxa" w:w="576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color w:val="444444"/>
                <w:sz w:val="20"/>
                <w:szCs w:val="20"/>
              </w:rPr>
              <w:t xml:space="preserve">[List outstanding issues blocking go-live approval]</w:t>
            </w:r>
          </w:p>
        </w:tc>
      </w:tr>
      <w:tr>
        <w:tc>
          <w:tcPr>
            <w:tcW w:type="dxa" w:w="36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Arial" w:cs="Arial" w:eastAsia="Arial" w:hAnsi="Arial"/>
                <w:b/>
                <w:bCs/>
                <w:color w:val="1B4F8A"/>
                <w:sz w:val="20"/>
                <w:szCs w:val="20"/>
              </w:rPr>
              <w:t xml:space="preserve">Proposed Go-Live Date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44444"/>
                <w:sz w:val="20"/>
                <w:szCs w:val="20"/>
              </w:rPr>
              <w:t xml:space="preserve">[Date]</w:t>
            </w:r>
          </w:p>
        </w:tc>
      </w:tr>
    </w:tbl>
    <w:p>
      <w:pPr>
        <w:spacing w:before="120" w:after="0"/>
      </w:pPr>
      <w:r>
        <w:t xml:space="preserve"/>
      </w:r>
    </w:p>
    <w:p>
      <w:pPr>
        <w:spacing w:before="60" w:after="80"/>
        <w:jc w:val="left"/>
      </w:pPr>
      <w:r>
        <w:rPr>
          <w:rFonts w:ascii="Arial" w:cs="Arial" w:eastAsia="Arial" w:hAnsi="Arial"/>
          <w:b/>
          <w:bCs/>
          <w:i w:val="false"/>
          <w:iCs w:val="false"/>
          <w:color w:val="1A1A2E"/>
          <w:sz w:val="22"/>
          <w:szCs w:val="22"/>
        </w:rPr>
        <w:t xml:space="preserve">Business Authorisation Sign-Off</w:t>
      </w:r>
    </w:p>
    <w:p>
      <w:pPr>
        <w:spacing w:before="40" w:after="0"/>
      </w:pPr>
      <w:r>
        <w:t xml:space="preserve"/>
      </w:r>
    </w:p>
    <w:p>
      <w:pPr>
        <w:spacing w:before="60" w:after="80"/>
        <w:jc w:val="left"/>
      </w:pPr>
      <w:r>
        <w:rPr>
          <w:rFonts w:ascii="Arial" w:cs="Arial" w:eastAsia="Arial" w:hAnsi="Arial"/>
          <w:b w:val="false"/>
          <w:bCs w:val="false"/>
          <w:i/>
          <w:iCs/>
          <w:color w:val="666666"/>
          <w:sz w:val="22"/>
          <w:szCs w:val="22"/>
        </w:rPr>
        <w:t xml:space="preserve">The following named business representatives confirm that UAT has been completed to the agreed standard, that outstanding defects are at an acceptable level, and that the system is approved to proceed to go-live on the proposed date.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80"/>
        <w:gridCol w:w="2400"/>
      </w:tblGrid>
      <w:tr>
        <w:tc>
          <w:tcPr>
            <w:tcW w:type="dxa" w:w="20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c>
          <w:tcPr>
            <w:tcW w:type="dxa" w:w="24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48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50"/>
              <w:bottom w:type="dxa" w:w="100"/>
              <w:right w:type="dxa" w:w="150"/>
            </w:tcMar>
          </w:tcPr>
          <w:p>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bCs/>
                <w:color w:val="1A1A2E"/>
                <w:sz w:val="19"/>
                <w:szCs w:val="19"/>
              </w:rPr>
              <w:t xml:space="preserve">Finance Lead</w:t>
            </w:r>
          </w:p>
        </w:tc>
        <w:tc>
          <w:tcPr>
            <w:tcW w:type="dxa" w:w="24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 / __ / ____</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19"/>
                <w:szCs w:val="19"/>
              </w:rPr>
              <w:t xml:space="preserve">HR Lead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 / __ / ____</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bCs/>
                <w:color w:val="1A1A2E"/>
                <w:sz w:val="19"/>
                <w:szCs w:val="19"/>
              </w:rPr>
              <w:t xml:space="preserve">Supply Chain Lead</w:t>
            </w:r>
          </w:p>
        </w:tc>
        <w:tc>
          <w:tcPr>
            <w:tcW w:type="dxa" w:w="24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 / __ / ____</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19"/>
                <w:szCs w:val="19"/>
              </w:rPr>
              <w:t xml:space="preserve">IT Lead</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 / __ / ____</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bCs/>
                <w:color w:val="1A1A2E"/>
                <w:sz w:val="19"/>
                <w:szCs w:val="19"/>
              </w:rPr>
              <w:t xml:space="preserve">Project Manager</w:t>
            </w:r>
          </w:p>
        </w:tc>
        <w:tc>
          <w:tcPr>
            <w:tcW w:type="dxa" w:w="24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8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 / __ / ____</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1A2E"/>
                <w:sz w:val="19"/>
                <w:szCs w:val="19"/>
              </w:rPr>
              <w:t xml:space="preserve">Executive Sponsor</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________________________</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444444"/>
                <w:sz w:val="19"/>
                <w:szCs w:val="19"/>
              </w:rPr>
              <w:t xml:space="preserve">__ / __ / ____</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9FC" w:val="clear"/>
            <w:tcMar>
              <w:top w:type="dxa" w:w="160"/>
              <w:left w:type="dxa" w:w="200"/>
              <w:bottom w:type="dxa" w:w="160"/>
              <w:right w:type="dxa" w:w="200"/>
            </w:tcMar>
          </w:tcPr>
          <w:p>
            <w:pPr>
              <w:spacing w:before="0" w:after="80"/>
            </w:pPr>
            <w:r>
              <w:rPr>
                <w:rFonts w:ascii="Arial" w:cs="Arial" w:eastAsia="Arial" w:hAnsi="Arial"/>
                <w:b/>
                <w:bCs/>
                <w:color w:val="1A1A2E"/>
                <w:sz w:val="22"/>
                <w:szCs w:val="22"/>
              </w:rPr>
              <w:t xml:space="preserve">Disclaimer</w:t>
            </w:r>
          </w:p>
          <w:p>
            <w:pPr>
              <w:spacing w:before="30" w:after="30"/>
            </w:pPr>
            <w:r>
              <w:rPr>
                <w:rFonts w:ascii="Arial" w:cs="Arial" w:eastAsia="Arial" w:hAnsi="Arial"/>
                <w:color w:val="1A1A2E"/>
                <w:sz w:val="21"/>
                <w:szCs w:val="21"/>
              </w:rPr>
              <w:t xml:space="preserve">This white paper has been produced independently by the author based on professional experience in enterprise ERP consulting. It does not represent the views of any employer, client, or organisation.</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All frameworks, templates, and recommendations in this document are the author's own and are provided for educational and professional development purposes. They should be adapted to the specific context of each organisation before use.</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Case references marked as anonymised are composites based on general consulting experience and do not refer to any specific client. Publicly attributed case references (Unilever, City of Los Angeles) are drawn from publicly available sources cited in the document.</w:t>
            </w:r>
          </w:p>
          <w:p>
            <w:pPr>
              <w:spacing w:before="30" w:after="30"/>
            </w:pPr>
            <w:r>
              <w:rPr>
                <w:rFonts w:ascii="Arial" w:cs="Arial" w:eastAsia="Arial" w:hAnsi="Arial"/>
                <w:color w:val="1A1A2E"/>
                <w:sz w:val="21"/>
                <w:szCs w:val="21"/>
              </w:rPr>
              <w:t xml:space="preserve"/>
            </w:r>
          </w:p>
          <w:p>
            <w:pPr>
              <w:spacing w:before="30" w:after="30"/>
            </w:pPr>
            <w:r>
              <w:rPr>
                <w:rFonts w:ascii="Arial" w:cs="Arial" w:eastAsia="Arial" w:hAnsi="Arial"/>
                <w:color w:val="1A1A2E"/>
                <w:sz w:val="21"/>
                <w:szCs w:val="21"/>
              </w:rPr>
              <w:t xml:space="preserve">Author: Payal Devendra Jarviya  |  MBA Candidate, SKKU Graduate School of Business</w:t>
            </w:r>
          </w:p>
          <w:p>
            <w:pPr>
              <w:spacing w:before="30" w:after="30"/>
            </w:pPr>
            <w:r>
              <w:rPr>
                <w:rFonts w:ascii="Arial" w:cs="Arial" w:eastAsia="Arial" w:hAnsi="Arial"/>
                <w:color w:val="1A1A2E"/>
                <w:sz w:val="21"/>
                <w:szCs w:val="21"/>
              </w:rPr>
              <w:t xml:space="preserve">LinkedIn: linkedin.com/in/payal-jarviya  |  Email: payaljarviya@skku.edu</w:t>
            </w:r>
          </w:p>
        </w:tc>
      </w:tr>
    </w:tbl>
    <w:p>
      <w:pPr>
        <w:spacing w:before="20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2026-03-18T06:58:11.484Z</dcterms:created>
  <dcterms:modified xsi:type="dcterms:W3CDTF">2026-03-18T06:58:11.485Z</dcterms:modified>
</cp:coreProperties>
</file>

<file path=docProps/custom.xml><?xml version="1.0" encoding="utf-8"?>
<Properties xmlns="http://schemas.openxmlformats.org/officeDocument/2006/custom-properties" xmlns:vt="http://schemas.openxmlformats.org/officeDocument/2006/docPropsVTypes"/>
</file>