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Leave Policy (Draft)</w:t>
      </w:r>
    </w:p>
    <w:p>
      <w:r>
        <w:t>Purpose:</w:t>
        <w:br/>
        <w:t>To outline leave guidelines.</w:t>
      </w:r>
    </w:p>
    <w:p>
      <w:r>
        <w:t>Eligibility:</w:t>
        <w:br/>
        <w:t>Applicable to confirmed employees.</w:t>
      </w:r>
    </w:p>
    <w:p>
      <w:r>
        <w:t>Types of Leave:</w:t>
        <w:br/>
        <w:t>Casual, Sick, Earned</w:t>
      </w:r>
    </w:p>
    <w:p>
      <w:r>
        <w:t>Application Process:</w:t>
        <w:br/>
        <w:t>Apply via email/system with manager approval.</w:t>
      </w:r>
    </w:p>
    <w:p>
      <w:r>
        <w:t>General Guidelines:</w:t>
        <w:br/>
        <w:t>Unused leave subject to company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