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5B680C" w14:paraId="4E069FEE" w14:textId="77777777">
        <w:tblPrEx>
          <w:tblCellMar>
            <w:top w:w="0" w:type="dxa"/>
            <w:bottom w:w="0" w:type="dxa"/>
          </w:tblCellMar>
        </w:tblPrEx>
        <w:trPr>
          <w:trHeight w:hRule="exact" w:val="15840"/>
        </w:trPr>
        <w:tc>
          <w:tcPr>
            <w:tcW w:w="0" w:type="auto"/>
            <w:shd w:val="clear" w:color="auto" w:fill="0D2740"/>
            <w:tcMar>
              <w:top w:w="0" w:type="dxa"/>
              <w:left w:w="900" w:type="dxa"/>
              <w:bottom w:w="0" w:type="dxa"/>
              <w:right w:w="900" w:type="dxa"/>
            </w:tcMar>
            <w:vAlign w:val="center"/>
          </w:tcPr>
          <w:p w14:paraId="4BF95CE1" w14:textId="77777777" w:rsidR="005B680C" w:rsidRDefault="005B680C">
            <w:pPr>
              <w:spacing w:after="1600"/>
            </w:pPr>
          </w:p>
          <w:p w14:paraId="386CFF14" w14:textId="77777777" w:rsidR="005B680C" w:rsidRPr="00967E3A" w:rsidRDefault="00477B0F">
            <w:pPr>
              <w:spacing w:after="80"/>
              <w:rPr>
                <w:sz w:val="60"/>
                <w:szCs w:val="60"/>
              </w:rPr>
            </w:pPr>
            <w:r w:rsidRPr="00967E3A">
              <w:rPr>
                <w:b/>
                <w:bCs/>
                <w:color w:val="E07A1F"/>
                <w:spacing w:val="30"/>
                <w:sz w:val="60"/>
                <w:szCs w:val="60"/>
              </w:rPr>
              <w:t>DATA ANALYTICS REPORT</w:t>
            </w:r>
          </w:p>
          <w:p w14:paraId="488265DA" w14:textId="77777777" w:rsidR="005B680C" w:rsidRDefault="00477B0F">
            <w:pPr>
              <w:spacing w:after="400"/>
            </w:pPr>
            <w:r>
              <w:rPr>
                <w:b/>
                <w:bCs/>
                <w:color w:val="FFFFFF"/>
                <w:sz w:val="58"/>
                <w:szCs w:val="58"/>
              </w:rPr>
              <w:t>Telecom Customer Churn Analysis</w:t>
            </w:r>
          </w:p>
          <w:p w14:paraId="4D8A2FE4" w14:textId="77777777" w:rsidR="005B680C" w:rsidRDefault="00477B0F">
            <w:pPr>
              <w:spacing w:after="900"/>
            </w:pPr>
            <w:r>
              <w:rPr>
                <w:color w:val="CCCCCC"/>
                <w:sz w:val="26"/>
                <w:szCs w:val="26"/>
              </w:rPr>
              <w:t>Predicting At-Risk Customers to Support Proactive Retention Strategy</w:t>
            </w:r>
          </w:p>
          <w:p w14:paraId="495C138C" w14:textId="77777777" w:rsidR="005B680C" w:rsidRDefault="005B680C">
            <w:pPr>
              <w:pBdr>
                <w:top w:val="single" w:sz="8" w:space="8" w:color="E07A1F"/>
              </w:pBdr>
              <w:spacing w:after="240"/>
            </w:pPr>
          </w:p>
          <w:p w14:paraId="3B10A126" w14:textId="77777777" w:rsidR="005B680C" w:rsidRDefault="00477B0F">
            <w:pPr>
              <w:spacing w:after="60"/>
            </w:pPr>
            <w:r>
              <w:rPr>
                <w:color w:val="FFFFFF"/>
              </w:rPr>
              <w:t xml:space="preserve">Prepared by:  Mohammad </w:t>
            </w:r>
            <w:proofErr w:type="spellStart"/>
            <w:r>
              <w:rPr>
                <w:color w:val="FFFFFF"/>
              </w:rPr>
              <w:t>Mijanur</w:t>
            </w:r>
            <w:proofErr w:type="spellEnd"/>
            <w:r>
              <w:rPr>
                <w:color w:val="FFFFFF"/>
              </w:rPr>
              <w:t xml:space="preserve"> Rahman</w:t>
            </w:r>
          </w:p>
          <w:p w14:paraId="08030EF1" w14:textId="77777777" w:rsidR="005B680C" w:rsidRDefault="00477B0F">
            <w:pPr>
              <w:spacing w:after="60"/>
            </w:pPr>
            <w:r>
              <w:rPr>
                <w:color w:val="AAAAAA"/>
                <w:sz w:val="20"/>
                <w:szCs w:val="20"/>
              </w:rPr>
              <w:t>Role:  Data Analyst | Python, SQL, ML &amp; Data Visualization</w:t>
            </w:r>
          </w:p>
          <w:p w14:paraId="7860E8BF" w14:textId="01DFE9F9" w:rsidR="005B680C" w:rsidRDefault="00477B0F">
            <w:pPr>
              <w:spacing w:after="1600"/>
            </w:pPr>
            <w:r>
              <w:rPr>
                <w:color w:val="AAAAAA"/>
                <w:sz w:val="20"/>
                <w:szCs w:val="20"/>
              </w:rPr>
              <w:t xml:space="preserve">Date:  July </w:t>
            </w:r>
            <w:r w:rsidR="00951217">
              <w:rPr>
                <w:color w:val="AAAAAA"/>
                <w:sz w:val="20"/>
                <w:szCs w:val="20"/>
              </w:rPr>
              <w:t>05</w:t>
            </w:r>
            <w:bookmarkStart w:id="0" w:name="_GoBack"/>
            <w:bookmarkEnd w:id="0"/>
            <w:r>
              <w:rPr>
                <w:color w:val="AAAAAA"/>
                <w:sz w:val="20"/>
                <w:szCs w:val="20"/>
              </w:rPr>
              <w:t>, 2026</w:t>
            </w:r>
          </w:p>
          <w:p w14:paraId="38CDE63E" w14:textId="77777777" w:rsidR="005B680C" w:rsidRDefault="00477B0F">
            <w:r>
              <w:rPr>
                <w:i/>
                <w:iCs/>
                <w:color w:val="888888"/>
                <w:sz w:val="18"/>
                <w:szCs w:val="18"/>
              </w:rPr>
              <w:t>Dataset: Telecom Customer Churn Prediction Data</w:t>
            </w:r>
          </w:p>
        </w:tc>
      </w:tr>
    </w:tbl>
    <w:p w14:paraId="6F324B45" w14:textId="77777777" w:rsidR="005B680C" w:rsidRDefault="005B680C">
      <w:pPr>
        <w:sectPr w:rsidR="005B680C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77E7FCA" w14:textId="77777777" w:rsidR="005B680C" w:rsidRDefault="00477B0F">
      <w:pPr>
        <w:pStyle w:val="Heading1"/>
        <w:pBdr>
          <w:bottom w:val="single" w:sz="10" w:space="6" w:color="E07A1F"/>
        </w:pBdr>
        <w:spacing w:before="480" w:after="200"/>
      </w:pPr>
      <w:r>
        <w:rPr>
          <w:b/>
          <w:bCs/>
          <w:color w:val="0D2740"/>
        </w:rPr>
        <w:lastRenderedPageBreak/>
        <w:t>Executive Summary</w:t>
      </w:r>
    </w:p>
    <w:p w14:paraId="4AF94D9C" w14:textId="77777777" w:rsidR="005B680C" w:rsidRDefault="00477B0F">
      <w:pPr>
        <w:spacing w:after="160" w:line="300" w:lineRule="auto"/>
      </w:pPr>
      <w:r>
        <w:t>Customer churn — the loss of subscribers to competitors — is one of the most direct threats to recurring revenue in the telecom industry. This report presents an exploratory data analysis of a telecom customer base to identify which customers are most like</w:t>
      </w:r>
      <w:r>
        <w:t>ly to churn, what factors drive that risk, and how the company can act on these findings to protect revenue.</w:t>
      </w:r>
    </w:p>
    <w:p w14:paraId="592342CC" w14:textId="77777777" w:rsidR="005B680C" w:rsidRDefault="00477B0F">
      <w:pPr>
        <w:spacing w:after="160" w:line="300" w:lineRule="auto"/>
      </w:pPr>
      <w:r>
        <w:t>The analysis was performed in Python using Pandas, NumPy, Matplotlib, and Seaborn. It examines churn distribution, demographic and contract-based c</w:t>
      </w:r>
      <w:r>
        <w:t>hurn patterns, and the statistical relationship between churn and key account attributes such as tenure, monthly charges, and senior citizen status.</w:t>
      </w:r>
    </w:p>
    <w:p w14:paraId="38C65FE1" w14:textId="77777777" w:rsidR="005B680C" w:rsidRDefault="005B680C">
      <w:pPr>
        <w:spacing w:after="80"/>
      </w:pP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5"/>
        <w:gridCol w:w="5015"/>
      </w:tblGrid>
      <w:tr w:rsidR="005B680C" w14:paraId="51D6B0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D274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9176D" w14:textId="77777777" w:rsidR="005B680C" w:rsidRDefault="00477B0F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shd w:val="clear" w:color="auto" w:fill="0D274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47E86" w14:textId="77777777" w:rsidR="005B680C" w:rsidRDefault="00477B0F">
            <w:r>
              <w:rPr>
                <w:b/>
                <w:bCs/>
                <w:color w:val="FFFFFF"/>
                <w:sz w:val="20"/>
                <w:szCs w:val="20"/>
              </w:rPr>
              <w:t>Headline Finding</w:t>
            </w:r>
          </w:p>
        </w:tc>
      </w:tr>
      <w:tr w:rsidR="005B680C" w14:paraId="13B6A0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E2A32" w14:textId="77777777" w:rsidR="005B680C" w:rsidRDefault="00477B0F">
            <w:r>
              <w:rPr>
                <w:b/>
                <w:bCs/>
                <w:color w:val="0D2740"/>
                <w:sz w:val="20"/>
                <w:szCs w:val="20"/>
              </w:rPr>
              <w:t>Overall churn rate</w:t>
            </w:r>
          </w:p>
        </w:tc>
        <w:tc>
          <w:tcPr>
            <w:tcW w:w="45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59F8C" w14:textId="77777777" w:rsidR="005B680C" w:rsidRDefault="00477B0F">
            <w:r>
              <w:rPr>
                <w:color w:val="333333"/>
                <w:sz w:val="20"/>
                <w:szCs w:val="20"/>
              </w:rPr>
              <w:t>Right-skewed — the majority of customers stay, but a substantial minority churn</w:t>
            </w:r>
          </w:p>
        </w:tc>
      </w:tr>
      <w:tr w:rsidR="005B680C" w14:paraId="4DABB1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6D091" w14:textId="77777777" w:rsidR="005B680C" w:rsidRDefault="00477B0F">
            <w:r>
              <w:rPr>
                <w:b/>
                <w:bCs/>
                <w:color w:val="0D2740"/>
                <w:sz w:val="20"/>
                <w:szCs w:val="20"/>
              </w:rPr>
              <w:t>Strongest churn predictor</w:t>
            </w:r>
          </w:p>
        </w:tc>
        <w:tc>
          <w:tcPr>
            <w:tcW w:w="45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C34A0" w14:textId="77777777" w:rsidR="005B680C" w:rsidRDefault="00477B0F">
            <w:r>
              <w:rPr>
                <w:color w:val="333333"/>
                <w:sz w:val="20"/>
                <w:szCs w:val="20"/>
              </w:rPr>
              <w:t>Tenure (correlation – 0.35): longer-tenured customers are far less likely to churn</w:t>
            </w:r>
          </w:p>
        </w:tc>
      </w:tr>
      <w:tr w:rsidR="005B680C" w14:paraId="28641A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D19B02" w14:textId="77777777" w:rsidR="005B680C" w:rsidRDefault="00477B0F">
            <w:r>
              <w:rPr>
                <w:b/>
                <w:bCs/>
                <w:color w:val="0D2740"/>
                <w:sz w:val="20"/>
                <w:szCs w:val="20"/>
              </w:rPr>
              <w:t>Highest-risk contract type</w:t>
            </w:r>
          </w:p>
        </w:tc>
        <w:tc>
          <w:tcPr>
            <w:tcW w:w="45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46DC6" w14:textId="77777777" w:rsidR="005B680C" w:rsidRDefault="00477B0F">
            <w:r>
              <w:rPr>
                <w:color w:val="333333"/>
                <w:sz w:val="20"/>
                <w:szCs w:val="20"/>
              </w:rPr>
              <w:t>Month-to-month contracts show substantially higher churn than annual contracts</w:t>
            </w:r>
          </w:p>
        </w:tc>
      </w:tr>
      <w:tr w:rsidR="005B680C" w14:paraId="41BE22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4E418" w14:textId="77777777" w:rsidR="005B680C" w:rsidRDefault="00477B0F">
            <w:r>
              <w:rPr>
                <w:b/>
                <w:bCs/>
                <w:color w:val="0D2740"/>
                <w:sz w:val="20"/>
                <w:szCs w:val="20"/>
              </w:rPr>
              <w:t>Pricing effect</w:t>
            </w:r>
          </w:p>
        </w:tc>
        <w:tc>
          <w:tcPr>
            <w:tcW w:w="45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F3A58" w14:textId="77777777" w:rsidR="005B680C" w:rsidRDefault="00477B0F">
            <w:r>
              <w:rPr>
                <w:color w:val="333333"/>
                <w:sz w:val="20"/>
                <w:szCs w:val="20"/>
              </w:rPr>
              <w:t>Higher monthly charges are weakly associated with increased churn (+0.19)</w:t>
            </w:r>
          </w:p>
        </w:tc>
      </w:tr>
      <w:tr w:rsidR="005B680C" w14:paraId="61EDBB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61A0D" w14:textId="77777777" w:rsidR="005B680C" w:rsidRDefault="00477B0F">
            <w:r>
              <w:rPr>
                <w:b/>
                <w:bCs/>
                <w:color w:val="0D2740"/>
                <w:sz w:val="20"/>
                <w:szCs w:val="20"/>
              </w:rPr>
              <w:t>Demographic effect</w:t>
            </w:r>
          </w:p>
        </w:tc>
        <w:tc>
          <w:tcPr>
            <w:tcW w:w="45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22337" w14:textId="77777777" w:rsidR="005B680C" w:rsidRDefault="00477B0F">
            <w:r>
              <w:rPr>
                <w:color w:val="333333"/>
                <w:sz w:val="20"/>
                <w:szCs w:val="20"/>
              </w:rPr>
              <w:t>Senior citizens show a weak, marginal increase in churn risk (+0.15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783301D7" w14:textId="77777777" w:rsidR="005B680C" w:rsidRDefault="00477B0F">
      <w:pPr>
        <w:pStyle w:val="Heading1"/>
        <w:pBdr>
          <w:bottom w:val="single" w:sz="10" w:space="6" w:color="E07A1F"/>
        </w:pBdr>
        <w:spacing w:before="480" w:after="200"/>
      </w:pPr>
      <w:r>
        <w:rPr>
          <w:b/>
          <w:bCs/>
          <w:color w:val="B45F14"/>
        </w:rPr>
        <w:t xml:space="preserve">1.  </w:t>
      </w:r>
      <w:r>
        <w:rPr>
          <w:b/>
          <w:bCs/>
          <w:color w:val="0D2740"/>
        </w:rPr>
        <w:t>Business Problem</w:t>
      </w:r>
    </w:p>
    <w:p w14:paraId="57DA9A67" w14:textId="77777777" w:rsidR="005B680C" w:rsidRDefault="00477B0F">
      <w:pPr>
        <w:spacing w:after="160" w:line="300" w:lineRule="auto"/>
      </w:pPr>
      <w:r>
        <w:t xml:space="preserve">A telecom company wants to predict which customers are likely to leave (churn) so it can proactively retain them. Acquiring a new customer typically costs significantly more than retaining an existing one, making early identification of at-risk accounts a </w:t>
      </w:r>
      <w:r>
        <w:t>high-value business capability. This analysis lays the groundwork for a churn prediction model by first understanding which factors are most strongly associated with customer attrition.</w:t>
      </w:r>
    </w:p>
    <w:p w14:paraId="786240A6" w14:textId="77777777" w:rsidR="005B680C" w:rsidRDefault="00477B0F">
      <w:pPr>
        <w:pStyle w:val="Heading1"/>
        <w:pBdr>
          <w:bottom w:val="single" w:sz="10" w:space="6" w:color="E07A1F"/>
        </w:pBdr>
        <w:spacing w:before="480" w:after="200"/>
      </w:pPr>
      <w:r>
        <w:rPr>
          <w:b/>
          <w:bCs/>
          <w:color w:val="B45F14"/>
        </w:rPr>
        <w:t xml:space="preserve">2.  </w:t>
      </w:r>
      <w:r>
        <w:rPr>
          <w:b/>
          <w:bCs/>
          <w:color w:val="0D2740"/>
        </w:rPr>
        <w:t>Business Questions</w:t>
      </w:r>
    </w:p>
    <w:p w14:paraId="6C571B56" w14:textId="77777777" w:rsidR="005B680C" w:rsidRDefault="00477B0F">
      <w:pPr>
        <w:spacing w:after="160" w:line="300" w:lineRule="auto"/>
      </w:pPr>
      <w:r>
        <w:t>The analysis was scoped around three core busin</w:t>
      </w:r>
      <w:r>
        <w:t>ess questions: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2" w:space="0" w:color="EAEAEA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9259"/>
      </w:tblGrid>
      <w:tr w:rsidR="005B680C" w14:paraId="616A83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64C095F8" w14:textId="77777777" w:rsidR="005B680C" w:rsidRDefault="00477B0F">
            <w:r>
              <w:rPr>
                <w:b/>
                <w:bCs/>
                <w:color w:val="B45F14"/>
                <w:sz w:val="20"/>
                <w:szCs w:val="20"/>
              </w:rPr>
              <w:t>Q1</w:t>
            </w:r>
          </w:p>
        </w:tc>
        <w:tc>
          <w:tcPr>
            <w:tcW w:w="8300" w:type="dxa"/>
            <w:tcMar>
              <w:top w:w="100" w:type="dxa"/>
              <w:left w:w="60" w:type="dxa"/>
              <w:bottom w:w="100" w:type="dxa"/>
              <w:right w:w="100" w:type="dxa"/>
            </w:tcMar>
          </w:tcPr>
          <w:p w14:paraId="4B46424E" w14:textId="77777777" w:rsidR="005B680C" w:rsidRDefault="00477B0F">
            <w:r>
              <w:rPr>
                <w:sz w:val="21"/>
                <w:szCs w:val="21"/>
              </w:rPr>
              <w:t>Which customers are most likely to churn?</w:t>
            </w:r>
          </w:p>
        </w:tc>
      </w:tr>
      <w:tr w:rsidR="005B680C" w14:paraId="711E67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4E4F24AA" w14:textId="77777777" w:rsidR="005B680C" w:rsidRDefault="00477B0F">
            <w:r>
              <w:rPr>
                <w:b/>
                <w:bCs/>
                <w:color w:val="B45F14"/>
                <w:sz w:val="20"/>
                <w:szCs w:val="20"/>
              </w:rPr>
              <w:t>Q2</w:t>
            </w:r>
          </w:p>
        </w:tc>
        <w:tc>
          <w:tcPr>
            <w:tcW w:w="8300" w:type="dxa"/>
            <w:tcMar>
              <w:top w:w="100" w:type="dxa"/>
              <w:left w:w="60" w:type="dxa"/>
              <w:bottom w:w="100" w:type="dxa"/>
              <w:right w:w="100" w:type="dxa"/>
            </w:tcMar>
          </w:tcPr>
          <w:p w14:paraId="4D3E7BC1" w14:textId="77777777" w:rsidR="005B680C" w:rsidRDefault="00477B0F">
            <w:r>
              <w:rPr>
                <w:sz w:val="21"/>
                <w:szCs w:val="21"/>
              </w:rPr>
              <w:t>What factors influence or contribute to churn?</w:t>
            </w:r>
          </w:p>
        </w:tc>
      </w:tr>
      <w:tr w:rsidR="005B680C" w14:paraId="5A9D7F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36741D98" w14:textId="77777777" w:rsidR="005B680C" w:rsidRPr="00967E3A" w:rsidRDefault="00477B0F">
            <w:pPr>
              <w:rPr>
                <w:color w:val="FFFFFF" w:themeColor="background1"/>
              </w:rPr>
            </w:pPr>
            <w:r w:rsidRPr="00967E3A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Q3</w:t>
            </w:r>
          </w:p>
        </w:tc>
        <w:tc>
          <w:tcPr>
            <w:tcW w:w="8300" w:type="dxa"/>
            <w:tcMar>
              <w:top w:w="100" w:type="dxa"/>
              <w:left w:w="60" w:type="dxa"/>
              <w:bottom w:w="100" w:type="dxa"/>
              <w:right w:w="100" w:type="dxa"/>
            </w:tcMar>
          </w:tcPr>
          <w:p w14:paraId="1FA01049" w14:textId="77777777" w:rsidR="005B680C" w:rsidRPr="00967E3A" w:rsidRDefault="00477B0F">
            <w:pPr>
              <w:rPr>
                <w:color w:val="FFFFFF" w:themeColor="background1"/>
              </w:rPr>
            </w:pPr>
            <w:r w:rsidRPr="00967E3A">
              <w:rPr>
                <w:color w:val="FFFFFF" w:themeColor="background1"/>
                <w:sz w:val="21"/>
                <w:szCs w:val="21"/>
              </w:rPr>
              <w:t>Can we build a model to predict churn accurately?</w:t>
            </w:r>
          </w:p>
        </w:tc>
      </w:tr>
    </w:tbl>
    <w:p w14:paraId="67355B43" w14:textId="77777777" w:rsidR="005B680C" w:rsidRDefault="00477B0F">
      <w:pPr>
        <w:pStyle w:val="Heading1"/>
        <w:pBdr>
          <w:bottom w:val="single" w:sz="10" w:space="6" w:color="E07A1F"/>
        </w:pBdr>
        <w:spacing w:before="480" w:after="200"/>
      </w:pPr>
      <w:r>
        <w:rPr>
          <w:b/>
          <w:bCs/>
          <w:color w:val="B45F14"/>
        </w:rPr>
        <w:t xml:space="preserve">3.  </w:t>
      </w:r>
      <w:r>
        <w:rPr>
          <w:b/>
          <w:bCs/>
          <w:color w:val="0D2740"/>
        </w:rPr>
        <w:t>Dataset &amp; Methodology</w:t>
      </w:r>
    </w:p>
    <w:p w14:paraId="04FB0025" w14:textId="77777777" w:rsidR="005B680C" w:rsidRDefault="00477B0F">
      <w:pPr>
        <w:pStyle w:val="Heading2"/>
        <w:spacing w:before="300" w:after="120"/>
      </w:pPr>
      <w:r>
        <w:rPr>
          <w:b/>
          <w:bCs/>
          <w:color w:val="0D2740"/>
        </w:rPr>
        <w:t>Data Source</w:t>
      </w:r>
    </w:p>
    <w:p w14:paraId="2C414703" w14:textId="77777777" w:rsidR="005B680C" w:rsidRDefault="00477B0F">
      <w:pPr>
        <w:spacing w:after="160" w:line="300" w:lineRule="auto"/>
      </w:pPr>
      <w:r>
        <w:t>The dataset used for this analysis is a Telecom Customer Churn dataset containing account-level records for 7,043 customers, including service subscriptions, billing information, tenure, and churn status.</w:t>
      </w:r>
    </w:p>
    <w:p w14:paraId="5F4E0113" w14:textId="77777777" w:rsidR="005B680C" w:rsidRDefault="00477B0F">
      <w:pPr>
        <w:pStyle w:val="Heading2"/>
        <w:spacing w:before="300" w:after="120"/>
      </w:pPr>
      <w:r>
        <w:rPr>
          <w:b/>
          <w:bCs/>
          <w:color w:val="0D2740"/>
        </w:rPr>
        <w:t>Fields Analyzed</w:t>
      </w:r>
    </w:p>
    <w:p w14:paraId="4E8C1E94" w14:textId="77777777" w:rsidR="005B680C" w:rsidRDefault="005B680C"/>
    <w:p w14:paraId="707DE416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proofErr w:type="spellStart"/>
      <w:r>
        <w:t>customerID</w:t>
      </w:r>
      <w:proofErr w:type="spellEnd"/>
      <w:r>
        <w:t xml:space="preserve"> — unique identifier for each customer</w:t>
      </w:r>
    </w:p>
    <w:p w14:paraId="28A41568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r>
        <w:t xml:space="preserve">Gender, </w:t>
      </w:r>
      <w:proofErr w:type="spellStart"/>
      <w:r>
        <w:t>SeniorCitizen</w:t>
      </w:r>
      <w:proofErr w:type="spellEnd"/>
      <w:r>
        <w:t>, Partner, Dependents — demographic attributes</w:t>
      </w:r>
    </w:p>
    <w:p w14:paraId="39D60289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r>
        <w:t>Tenure — number of months the customer has stayed with the company</w:t>
      </w:r>
    </w:p>
    <w:p w14:paraId="622C0DBF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proofErr w:type="spellStart"/>
      <w:r>
        <w:t>PhoneService</w:t>
      </w:r>
      <w:proofErr w:type="spellEnd"/>
      <w:r>
        <w:t xml:space="preserve">, </w:t>
      </w:r>
      <w:proofErr w:type="spellStart"/>
      <w:r>
        <w:t>MultipleLines</w:t>
      </w:r>
      <w:proofErr w:type="spellEnd"/>
      <w:r>
        <w:t xml:space="preserve">, </w:t>
      </w:r>
      <w:proofErr w:type="spellStart"/>
      <w:r>
        <w:t>InternetService</w:t>
      </w:r>
      <w:proofErr w:type="spellEnd"/>
      <w:r>
        <w:t xml:space="preserve"> — core service subscription</w:t>
      </w:r>
      <w:r>
        <w:t>s</w:t>
      </w:r>
    </w:p>
    <w:p w14:paraId="4F183945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proofErr w:type="spellStart"/>
      <w:r>
        <w:t>OnlineSecurity</w:t>
      </w:r>
      <w:proofErr w:type="spellEnd"/>
      <w:r>
        <w:t xml:space="preserve">, </w:t>
      </w:r>
      <w:proofErr w:type="spellStart"/>
      <w:r>
        <w:t>OnlineBackup</w:t>
      </w:r>
      <w:proofErr w:type="spellEnd"/>
      <w:r>
        <w:t xml:space="preserve">, </w:t>
      </w:r>
      <w:proofErr w:type="spellStart"/>
      <w:r>
        <w:t>DeviceProtection</w:t>
      </w:r>
      <w:proofErr w:type="spellEnd"/>
      <w:r>
        <w:t xml:space="preserve">, </w:t>
      </w:r>
      <w:proofErr w:type="spellStart"/>
      <w:r>
        <w:t>TechSupport</w:t>
      </w:r>
      <w:proofErr w:type="spellEnd"/>
      <w:r>
        <w:t xml:space="preserve">, </w:t>
      </w:r>
      <w:proofErr w:type="spellStart"/>
      <w:r>
        <w:t>StreamingTV</w:t>
      </w:r>
      <w:proofErr w:type="spellEnd"/>
      <w:r>
        <w:t xml:space="preserve">, </w:t>
      </w:r>
      <w:proofErr w:type="spellStart"/>
      <w:r>
        <w:t>StreamingMovies</w:t>
      </w:r>
      <w:proofErr w:type="spellEnd"/>
      <w:r>
        <w:t xml:space="preserve"> — add-on services</w:t>
      </w:r>
    </w:p>
    <w:p w14:paraId="6F59E095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r>
        <w:t>Contract — Month-to-month, One year, or Two year</w:t>
      </w:r>
    </w:p>
    <w:p w14:paraId="6609B022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proofErr w:type="spellStart"/>
      <w:r>
        <w:t>PaperlessBilling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 — billing attributes</w:t>
      </w:r>
    </w:p>
    <w:p w14:paraId="1CB6F9DF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proofErr w:type="spellStart"/>
      <w:r>
        <w:t>MonthlyCharges</w:t>
      </w:r>
      <w:proofErr w:type="spellEnd"/>
      <w:r>
        <w:t xml:space="preserve">, </w:t>
      </w:r>
      <w:proofErr w:type="spellStart"/>
      <w:r>
        <w:t>TotalCharges</w:t>
      </w:r>
      <w:proofErr w:type="spellEnd"/>
      <w:r>
        <w:t xml:space="preserve"> — billing amoun</w:t>
      </w:r>
      <w:r>
        <w:t>ts</w:t>
      </w:r>
    </w:p>
    <w:p w14:paraId="329C9A9B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r>
        <w:t xml:space="preserve">Churn — target variable (Yes = customer left, </w:t>
      </w:r>
      <w:proofErr w:type="gramStart"/>
      <w:r>
        <w:t>No</w:t>
      </w:r>
      <w:proofErr w:type="gramEnd"/>
      <w:r>
        <w:t xml:space="preserve"> = customer stayed)</w:t>
      </w:r>
    </w:p>
    <w:p w14:paraId="3CE407CC" w14:textId="77777777" w:rsidR="005B680C" w:rsidRDefault="00477B0F">
      <w:pPr>
        <w:pStyle w:val="Heading2"/>
        <w:spacing w:before="300" w:after="120"/>
      </w:pPr>
      <w:r>
        <w:rPr>
          <w:b/>
          <w:bCs/>
          <w:color w:val="0D2740"/>
        </w:rPr>
        <w:t>Data Cleaning &amp; Preparation</w:t>
      </w:r>
    </w:p>
    <w:p w14:paraId="130BEEA2" w14:textId="77777777" w:rsidR="005B680C" w:rsidRDefault="00477B0F">
      <w:pPr>
        <w:spacing w:after="160" w:line="300" w:lineRule="auto"/>
      </w:pPr>
      <w:r>
        <w:t>Missing values, duplicate records, and outliers were identified and handled to ensure the dataset was suitable for reliable statistical analysis and downstre</w:t>
      </w:r>
      <w:r>
        <w:t>am modeling.</w:t>
      </w:r>
    </w:p>
    <w:p w14:paraId="4BCE884E" w14:textId="77777777" w:rsidR="005B680C" w:rsidRDefault="00477B0F">
      <w:pPr>
        <w:pStyle w:val="Heading2"/>
        <w:spacing w:before="300" w:after="120"/>
      </w:pPr>
      <w:r>
        <w:rPr>
          <w:b/>
          <w:bCs/>
          <w:color w:val="0D2740"/>
        </w:rPr>
        <w:t>Tools &amp; Technologies</w:t>
      </w:r>
    </w:p>
    <w:p w14:paraId="4D4FEECD" w14:textId="77777777" w:rsidR="005B680C" w:rsidRDefault="00477B0F">
      <w:pPr>
        <w:spacing w:after="160" w:line="300" w:lineRule="auto"/>
      </w:pPr>
      <w:r>
        <w:rPr>
          <w:i/>
          <w:iCs/>
          <w:color w:val="555555"/>
        </w:rPr>
        <w:t xml:space="preserve">Python · Pandas · NumPy · Matplotlib · Seaborn, executed in a </w:t>
      </w:r>
      <w:proofErr w:type="spellStart"/>
      <w:r>
        <w:rPr>
          <w:i/>
          <w:iCs/>
          <w:color w:val="555555"/>
        </w:rPr>
        <w:t>Colab</w:t>
      </w:r>
      <w:proofErr w:type="spellEnd"/>
      <w:r>
        <w:rPr>
          <w:i/>
          <w:iCs/>
          <w:color w:val="555555"/>
        </w:rPr>
        <w:t xml:space="preserve"> notebook.</w:t>
      </w:r>
    </w:p>
    <w:p w14:paraId="0E891FD8" w14:textId="77777777" w:rsidR="005B680C" w:rsidRDefault="00477B0F">
      <w:r>
        <w:br w:type="page"/>
      </w:r>
    </w:p>
    <w:p w14:paraId="3D974E20" w14:textId="77777777" w:rsidR="005B680C" w:rsidRDefault="00477B0F">
      <w:pPr>
        <w:pStyle w:val="Heading1"/>
        <w:pBdr>
          <w:bottom w:val="single" w:sz="10" w:space="6" w:color="E07A1F"/>
        </w:pBdr>
        <w:spacing w:before="480" w:after="200"/>
      </w:pPr>
      <w:r>
        <w:rPr>
          <w:b/>
          <w:bCs/>
          <w:color w:val="B45F14"/>
        </w:rPr>
        <w:lastRenderedPageBreak/>
        <w:t xml:space="preserve">4.  </w:t>
      </w:r>
      <w:r>
        <w:rPr>
          <w:b/>
          <w:bCs/>
          <w:color w:val="0D2740"/>
        </w:rPr>
        <w:t>Key Findings</w:t>
      </w:r>
    </w:p>
    <w:p w14:paraId="709D055A" w14:textId="77777777" w:rsidR="005B680C" w:rsidRDefault="00477B0F">
      <w:pPr>
        <w:spacing w:after="160" w:line="300" w:lineRule="auto"/>
      </w:pPr>
      <w:r>
        <w:t>The sections below walk through each dimension of the analysis with the supporting visualization and its business implication</w:t>
      </w:r>
      <w:r>
        <w:t>.</w:t>
      </w:r>
    </w:p>
    <w:p w14:paraId="52E344D5" w14:textId="77777777" w:rsidR="005B680C" w:rsidRDefault="00477B0F">
      <w:pPr>
        <w:pStyle w:val="Heading2"/>
        <w:spacing w:before="300" w:after="120"/>
      </w:pPr>
      <w:proofErr w:type="gramStart"/>
      <w:r>
        <w:rPr>
          <w:b/>
          <w:bCs/>
          <w:color w:val="0D2740"/>
        </w:rPr>
        <w:t>4.1  Churn</w:t>
      </w:r>
      <w:proofErr w:type="gramEnd"/>
      <w:r>
        <w:rPr>
          <w:b/>
          <w:bCs/>
          <w:color w:val="0D2740"/>
        </w:rPr>
        <w:t xml:space="preserve"> Distribution</w:t>
      </w:r>
    </w:p>
    <w:p w14:paraId="73D47206" w14:textId="77777777" w:rsidR="005B680C" w:rsidRDefault="00477B0F">
      <w:pPr>
        <w:spacing w:after="160" w:line="300" w:lineRule="auto"/>
      </w:pPr>
      <w:r>
        <w:t>The overall distribution of churn is right-skewed: most customers remain with the company, but a substantial minority — roughly one in four — have churned.</w:t>
      </w:r>
    </w:p>
    <w:p w14:paraId="3827376F" w14:textId="77777777" w:rsidR="005B680C" w:rsidRDefault="00477B0F">
      <w:pPr>
        <w:spacing w:before="200" w:after="60"/>
        <w:jc w:val="center"/>
      </w:pPr>
      <w:r>
        <w:rPr>
          <w:noProof/>
        </w:rPr>
        <w:drawing>
          <wp:inline distT="0" distB="0" distL="0" distR="0" wp14:anchorId="155FCB6B" wp14:editId="170B9101">
            <wp:extent cx="400050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5C7D" w14:textId="77777777" w:rsidR="005B680C" w:rsidRDefault="00477B0F">
      <w:pPr>
        <w:spacing w:before="100" w:after="320"/>
        <w:jc w:val="center"/>
      </w:pPr>
      <w:r>
        <w:rPr>
          <w:i/>
          <w:iCs/>
          <w:color w:val="555555"/>
          <w:sz w:val="18"/>
          <w:szCs w:val="18"/>
        </w:rPr>
        <w:t>Figure 1. Overall churn distribution (No vs. Yes)</w:t>
      </w:r>
    </w:p>
    <w:tbl>
      <w:tblPr>
        <w:tblW w:w="5000" w:type="pct"/>
        <w:tblBorders>
          <w:top w:val="single" w:sz="4" w:space="0" w:color="E07A1F"/>
          <w:left w:val="single" w:sz="4" w:space="0" w:color="E07A1F"/>
          <w:bottom w:val="single" w:sz="4" w:space="0" w:color="E07A1F"/>
          <w:right w:val="single" w:sz="4" w:space="0" w:color="E07A1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B680C" w14:paraId="1DA1F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9705F8" w14:textId="77777777" w:rsidR="005B680C" w:rsidRDefault="00477B0F">
            <w:pPr>
              <w:spacing w:after="90"/>
            </w:pPr>
            <w:proofErr w:type="gramStart"/>
            <w:r>
              <w:rPr>
                <w:b/>
                <w:bCs/>
                <w:color w:val="B45F14"/>
                <w:sz w:val="21"/>
                <w:szCs w:val="21"/>
              </w:rPr>
              <w:t>■  Business</w:t>
            </w:r>
            <w:proofErr w:type="gramEnd"/>
            <w:r>
              <w:rPr>
                <w:b/>
                <w:bCs/>
                <w:color w:val="B45F14"/>
                <w:sz w:val="21"/>
                <w:szCs w:val="21"/>
              </w:rPr>
              <w:t xml:space="preserve"> Value</w:t>
            </w:r>
          </w:p>
          <w:p w14:paraId="10CCDDC7" w14:textId="77777777" w:rsidR="005B680C" w:rsidRDefault="00477B0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0"/>
                <w:szCs w:val="20"/>
              </w:rPr>
              <w:t>A meaningful share of the customer base is churning, representing a direct and quantifiable revenue risk.</w:t>
            </w:r>
          </w:p>
          <w:p w14:paraId="1E64D73D" w14:textId="77777777" w:rsidR="005B680C" w:rsidRDefault="00477B0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0"/>
                <w:szCs w:val="20"/>
              </w:rPr>
              <w:t>Even modest improvements in retention translate into significant recurring-revenue protection at this scale.</w:t>
            </w:r>
          </w:p>
        </w:tc>
      </w:tr>
    </w:tbl>
    <w:p w14:paraId="6AB21431" w14:textId="77777777" w:rsidR="005B680C" w:rsidRDefault="00477B0F">
      <w:pPr>
        <w:pStyle w:val="Heading2"/>
        <w:spacing w:before="300" w:after="120"/>
      </w:pPr>
      <w:proofErr w:type="gramStart"/>
      <w:r>
        <w:rPr>
          <w:b/>
          <w:bCs/>
          <w:color w:val="0D2740"/>
        </w:rPr>
        <w:t>4.2  Gender</w:t>
      </w:r>
      <w:proofErr w:type="gramEnd"/>
      <w:r>
        <w:rPr>
          <w:b/>
          <w:bCs/>
          <w:color w:val="0D2740"/>
        </w:rPr>
        <w:t>-wise Churn</w:t>
      </w:r>
    </w:p>
    <w:p w14:paraId="4CBD945C" w14:textId="77777777" w:rsidR="005B680C" w:rsidRDefault="00477B0F">
      <w:pPr>
        <w:spacing w:after="160" w:line="300" w:lineRule="auto"/>
      </w:pPr>
      <w:r>
        <w:t>Churn was examine</w:t>
      </w:r>
      <w:r>
        <w:t>d by gender to check for demographic skew. Male and female customers show closely comparable churn rates, indicating gender is not a meaningful differentiator of churn risk on its own.</w:t>
      </w:r>
    </w:p>
    <w:p w14:paraId="1FF1713B" w14:textId="77777777" w:rsidR="005B680C" w:rsidRDefault="00477B0F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31C691A1" wp14:editId="29CDA528">
            <wp:extent cx="400050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95D1" w14:textId="77777777" w:rsidR="005B680C" w:rsidRDefault="00477B0F">
      <w:pPr>
        <w:spacing w:before="100" w:after="320"/>
        <w:jc w:val="center"/>
      </w:pPr>
      <w:r>
        <w:rPr>
          <w:i/>
          <w:iCs/>
          <w:color w:val="555555"/>
          <w:sz w:val="18"/>
          <w:szCs w:val="18"/>
        </w:rPr>
        <w:t>Figure 2. Churn distribution by gender</w:t>
      </w:r>
    </w:p>
    <w:tbl>
      <w:tblPr>
        <w:tblW w:w="5000" w:type="pct"/>
        <w:tblBorders>
          <w:top w:val="single" w:sz="4" w:space="0" w:color="E07A1F"/>
          <w:left w:val="single" w:sz="4" w:space="0" w:color="E07A1F"/>
          <w:bottom w:val="single" w:sz="4" w:space="0" w:color="E07A1F"/>
          <w:right w:val="single" w:sz="4" w:space="0" w:color="E07A1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B680C" w14:paraId="075884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82D1AF0" w14:textId="77777777" w:rsidR="005B680C" w:rsidRDefault="00477B0F">
            <w:pPr>
              <w:spacing w:after="90"/>
            </w:pPr>
            <w:proofErr w:type="gramStart"/>
            <w:r>
              <w:rPr>
                <w:b/>
                <w:bCs/>
                <w:color w:val="B45F14"/>
                <w:sz w:val="21"/>
                <w:szCs w:val="21"/>
              </w:rPr>
              <w:t>■  Business</w:t>
            </w:r>
            <w:proofErr w:type="gramEnd"/>
            <w:r>
              <w:rPr>
                <w:b/>
                <w:bCs/>
                <w:color w:val="B45F14"/>
                <w:sz w:val="21"/>
                <w:szCs w:val="21"/>
              </w:rPr>
              <w:t xml:space="preserve"> Value</w:t>
            </w:r>
          </w:p>
          <w:p w14:paraId="056F42E1" w14:textId="77777777" w:rsidR="005B680C" w:rsidRDefault="00477B0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0"/>
                <w:szCs w:val="20"/>
              </w:rPr>
              <w:t>Gender is no</w:t>
            </w:r>
            <w:r>
              <w:rPr>
                <w:color w:val="333333"/>
                <w:sz w:val="20"/>
                <w:szCs w:val="20"/>
              </w:rPr>
              <w:t>t a useful lever for retention targeting — churn risk is essentially balanced across male and female customers.</w:t>
            </w:r>
          </w:p>
          <w:p w14:paraId="1865757A" w14:textId="77777777" w:rsidR="005B680C" w:rsidRDefault="00477B0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0"/>
                <w:szCs w:val="20"/>
              </w:rPr>
              <w:t>Retention strategy should instead prioritize account-level factors such as contract type and tenure.</w:t>
            </w:r>
          </w:p>
        </w:tc>
      </w:tr>
    </w:tbl>
    <w:p w14:paraId="69E36254" w14:textId="77777777" w:rsidR="005B680C" w:rsidRDefault="00477B0F">
      <w:pPr>
        <w:pStyle w:val="Heading2"/>
        <w:spacing w:before="300" w:after="120"/>
      </w:pPr>
      <w:proofErr w:type="gramStart"/>
      <w:r>
        <w:rPr>
          <w:b/>
          <w:bCs/>
          <w:color w:val="0D2740"/>
        </w:rPr>
        <w:t>4.3  Contract</w:t>
      </w:r>
      <w:proofErr w:type="gramEnd"/>
      <w:r>
        <w:rPr>
          <w:b/>
          <w:bCs/>
          <w:color w:val="0D2740"/>
        </w:rPr>
        <w:t>-wise Churn</w:t>
      </w:r>
    </w:p>
    <w:p w14:paraId="534029AC" w14:textId="77777777" w:rsidR="005B680C" w:rsidRDefault="00477B0F">
      <w:pPr>
        <w:spacing w:after="160" w:line="300" w:lineRule="auto"/>
      </w:pPr>
      <w:r>
        <w:t>Contract type shows the clearest behavioral pattern in the data: customers on month-to-month contracts churn at a substantially higher rate than those on one-year or two-year contracts.</w:t>
      </w:r>
    </w:p>
    <w:p w14:paraId="5F8BA0AC" w14:textId="77777777" w:rsidR="005B680C" w:rsidRDefault="00477B0F">
      <w:pPr>
        <w:spacing w:before="200" w:after="60"/>
        <w:jc w:val="center"/>
      </w:pPr>
      <w:r>
        <w:rPr>
          <w:noProof/>
        </w:rPr>
        <w:drawing>
          <wp:inline distT="0" distB="0" distL="0" distR="0" wp14:anchorId="5145B6F0" wp14:editId="7A87F2FF">
            <wp:extent cx="4381500" cy="3038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C3A0" w14:textId="77777777" w:rsidR="005B680C" w:rsidRDefault="00477B0F">
      <w:pPr>
        <w:spacing w:before="100" w:after="320"/>
        <w:jc w:val="center"/>
      </w:pPr>
      <w:r>
        <w:rPr>
          <w:i/>
          <w:iCs/>
          <w:color w:val="555555"/>
          <w:sz w:val="18"/>
          <w:szCs w:val="18"/>
        </w:rPr>
        <w:t>Figure 3. Churn distribution by contract type</w:t>
      </w:r>
    </w:p>
    <w:tbl>
      <w:tblPr>
        <w:tblW w:w="5000" w:type="pct"/>
        <w:tblBorders>
          <w:top w:val="single" w:sz="4" w:space="0" w:color="E07A1F"/>
          <w:left w:val="single" w:sz="4" w:space="0" w:color="E07A1F"/>
          <w:bottom w:val="single" w:sz="4" w:space="0" w:color="E07A1F"/>
          <w:right w:val="single" w:sz="4" w:space="0" w:color="E07A1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B680C" w14:paraId="32A6B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E207C23" w14:textId="77777777" w:rsidR="005B680C" w:rsidRDefault="00477B0F">
            <w:pPr>
              <w:spacing w:after="90"/>
            </w:pPr>
            <w:proofErr w:type="gramStart"/>
            <w:r>
              <w:rPr>
                <w:b/>
                <w:bCs/>
                <w:color w:val="B45F14"/>
                <w:sz w:val="21"/>
                <w:szCs w:val="21"/>
              </w:rPr>
              <w:lastRenderedPageBreak/>
              <w:t>■  Business</w:t>
            </w:r>
            <w:proofErr w:type="gramEnd"/>
            <w:r>
              <w:rPr>
                <w:b/>
                <w:bCs/>
                <w:color w:val="B45F14"/>
                <w:sz w:val="21"/>
                <w:szCs w:val="21"/>
              </w:rPr>
              <w:t xml:space="preserve"> Value</w:t>
            </w:r>
          </w:p>
          <w:p w14:paraId="2F47083B" w14:textId="77777777" w:rsidR="005B680C" w:rsidRDefault="00477B0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0"/>
                <w:szCs w:val="20"/>
              </w:rPr>
              <w:t>Mont</w:t>
            </w:r>
            <w:r>
              <w:rPr>
                <w:color w:val="333333"/>
                <w:sz w:val="20"/>
                <w:szCs w:val="20"/>
              </w:rPr>
              <w:t>h-to-month customers represent the highest-risk segment and the best near-term target for retention campaigns.</w:t>
            </w:r>
          </w:p>
          <w:p w14:paraId="53139E24" w14:textId="77777777" w:rsidR="005B680C" w:rsidRDefault="00477B0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0"/>
                <w:szCs w:val="20"/>
              </w:rPr>
              <w:t>Incentivizing migration to longer-term contracts (discounts, loyalty perks) is a direct, actionable lever to reduce churn.</w:t>
            </w:r>
          </w:p>
        </w:tc>
      </w:tr>
    </w:tbl>
    <w:p w14:paraId="417B75BA" w14:textId="77777777" w:rsidR="005B680C" w:rsidRDefault="00477B0F">
      <w:r>
        <w:br w:type="page"/>
      </w:r>
    </w:p>
    <w:p w14:paraId="38604726" w14:textId="77777777" w:rsidR="005B680C" w:rsidRDefault="00477B0F">
      <w:pPr>
        <w:pStyle w:val="Heading2"/>
        <w:spacing w:before="300" w:after="120"/>
      </w:pPr>
      <w:proofErr w:type="gramStart"/>
      <w:r>
        <w:rPr>
          <w:b/>
          <w:bCs/>
          <w:color w:val="0D2740"/>
        </w:rPr>
        <w:lastRenderedPageBreak/>
        <w:t>4.4  Correlation</w:t>
      </w:r>
      <w:proofErr w:type="gramEnd"/>
      <w:r>
        <w:rPr>
          <w:b/>
          <w:bCs/>
          <w:color w:val="0D2740"/>
        </w:rPr>
        <w:t xml:space="preserve"> wi</w:t>
      </w:r>
      <w:r>
        <w:rPr>
          <w:b/>
          <w:bCs/>
          <w:color w:val="0D2740"/>
        </w:rPr>
        <w:t>th Churn</w:t>
      </w:r>
    </w:p>
    <w:p w14:paraId="609649D4" w14:textId="77777777" w:rsidR="005B680C" w:rsidRDefault="00477B0F">
      <w:pPr>
        <w:spacing w:after="160" w:line="300" w:lineRule="auto"/>
      </w:pPr>
      <w:r>
        <w:t>A correlation analysis was run against the numeric account attributes to quantify which factors move most closely with churn.</w:t>
      </w:r>
    </w:p>
    <w:p w14:paraId="009B3FBB" w14:textId="77777777" w:rsidR="005B680C" w:rsidRDefault="005B680C">
      <w:pPr>
        <w:spacing w:after="60"/>
      </w:pP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5"/>
        <w:gridCol w:w="5015"/>
      </w:tblGrid>
      <w:tr w:rsidR="005B680C" w14:paraId="299D9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27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AA1F" w14:textId="77777777" w:rsidR="005B680C" w:rsidRDefault="00477B0F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500" w:type="dxa"/>
            <w:shd w:val="clear" w:color="auto" w:fill="0D27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4227" w14:textId="77777777" w:rsidR="005B680C" w:rsidRDefault="00477B0F">
            <w:r>
              <w:rPr>
                <w:b/>
                <w:bCs/>
                <w:color w:val="FFFFFF"/>
                <w:sz w:val="19"/>
                <w:szCs w:val="19"/>
              </w:rPr>
              <w:t>Correlation with Churn</w:t>
            </w:r>
          </w:p>
        </w:tc>
      </w:tr>
      <w:tr w:rsidR="005B680C" w14:paraId="3FA5A1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BA72F9" w14:textId="77777777" w:rsidR="005B680C" w:rsidRDefault="00477B0F">
            <w:r>
              <w:rPr>
                <w:color w:val="262626"/>
                <w:sz w:val="19"/>
                <w:szCs w:val="19"/>
              </w:rPr>
              <w:t>Churn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D97D37" w14:textId="77777777" w:rsidR="005B680C" w:rsidRDefault="00477B0F">
            <w:r>
              <w:rPr>
                <w:color w:val="262626"/>
                <w:sz w:val="19"/>
                <w:szCs w:val="19"/>
              </w:rPr>
              <w:t>1.000000</w:t>
            </w:r>
          </w:p>
        </w:tc>
      </w:tr>
      <w:tr w:rsidR="005B680C" w14:paraId="502AAA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22B25F" w14:textId="77777777" w:rsidR="005B680C" w:rsidRDefault="00477B0F">
            <w:proofErr w:type="spellStart"/>
            <w:r>
              <w:rPr>
                <w:color w:val="262626"/>
                <w:sz w:val="19"/>
                <w:szCs w:val="19"/>
              </w:rPr>
              <w:t>MonthlyCharges</w:t>
            </w:r>
            <w:proofErr w:type="spellEnd"/>
          </w:p>
        </w:tc>
        <w:tc>
          <w:tcPr>
            <w:tcW w:w="450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21C25F" w14:textId="77777777" w:rsidR="005B680C" w:rsidRDefault="00477B0F">
            <w:r>
              <w:rPr>
                <w:color w:val="262626"/>
                <w:sz w:val="19"/>
                <w:szCs w:val="19"/>
              </w:rPr>
              <w:t>0.193356</w:t>
            </w:r>
          </w:p>
        </w:tc>
      </w:tr>
      <w:tr w:rsidR="005B680C" w14:paraId="697D45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EA3097" w14:textId="77777777" w:rsidR="005B680C" w:rsidRDefault="00477B0F">
            <w:proofErr w:type="spellStart"/>
            <w:r>
              <w:rPr>
                <w:color w:val="262626"/>
                <w:sz w:val="19"/>
                <w:szCs w:val="19"/>
              </w:rPr>
              <w:t>SeniorCitizen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56C2D6" w14:textId="77777777" w:rsidR="005B680C" w:rsidRDefault="00477B0F">
            <w:r>
              <w:rPr>
                <w:color w:val="262626"/>
                <w:sz w:val="19"/>
                <w:szCs w:val="19"/>
              </w:rPr>
              <w:t>0.150889</w:t>
            </w:r>
          </w:p>
        </w:tc>
      </w:tr>
      <w:tr w:rsidR="005B680C" w14:paraId="7EB7F7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D22ECD" w14:textId="77777777" w:rsidR="005B680C" w:rsidRDefault="00477B0F">
            <w:r>
              <w:rPr>
                <w:color w:val="262626"/>
                <w:sz w:val="19"/>
                <w:szCs w:val="19"/>
              </w:rPr>
              <w:t>Tenure</w:t>
            </w:r>
          </w:p>
        </w:tc>
        <w:tc>
          <w:tcPr>
            <w:tcW w:w="450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5A3534" w14:textId="77777777" w:rsidR="005B680C" w:rsidRDefault="00477B0F">
            <w:r>
              <w:rPr>
                <w:color w:val="262626"/>
                <w:sz w:val="19"/>
                <w:szCs w:val="19"/>
              </w:rPr>
              <w:t>–0.352229</w:t>
            </w:r>
          </w:p>
        </w:tc>
      </w:tr>
    </w:tbl>
    <w:p w14:paraId="72A6E9A4" w14:textId="77777777" w:rsidR="005B680C" w:rsidRDefault="005B680C">
      <w:pPr>
        <w:spacing w:after="200"/>
      </w:pPr>
    </w:p>
    <w:p w14:paraId="085E2168" w14:textId="77777777" w:rsidR="005B680C" w:rsidRDefault="00477B0F">
      <w:pPr>
        <w:spacing w:before="200" w:after="60"/>
        <w:jc w:val="center"/>
      </w:pPr>
      <w:r>
        <w:rPr>
          <w:noProof/>
        </w:rPr>
        <w:drawing>
          <wp:inline distT="0" distB="0" distL="0" distR="0" wp14:anchorId="4C820A5C" wp14:editId="33D450A7">
            <wp:extent cx="3810000" cy="3171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4AC1" w14:textId="77777777" w:rsidR="005B680C" w:rsidRDefault="00477B0F">
      <w:pPr>
        <w:spacing w:before="100" w:after="320"/>
        <w:jc w:val="center"/>
      </w:pPr>
      <w:r>
        <w:rPr>
          <w:i/>
          <w:iCs/>
          <w:color w:val="555555"/>
          <w:sz w:val="18"/>
          <w:szCs w:val="18"/>
        </w:rPr>
        <w:t>Figure 4. Correlation heatmap across key numeric account attributes</w:t>
      </w:r>
    </w:p>
    <w:tbl>
      <w:tblPr>
        <w:tblW w:w="5000" w:type="pct"/>
        <w:tblBorders>
          <w:top w:val="single" w:sz="4" w:space="0" w:color="E07A1F"/>
          <w:left w:val="single" w:sz="4" w:space="0" w:color="E07A1F"/>
          <w:bottom w:val="single" w:sz="4" w:space="0" w:color="E07A1F"/>
          <w:right w:val="single" w:sz="4" w:space="0" w:color="E07A1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B680C" w14:paraId="322D2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7249BE3" w14:textId="77777777" w:rsidR="005B680C" w:rsidRDefault="00477B0F">
            <w:pPr>
              <w:spacing w:after="90"/>
            </w:pPr>
            <w:proofErr w:type="gramStart"/>
            <w:r>
              <w:rPr>
                <w:b/>
                <w:bCs/>
                <w:color w:val="B45F14"/>
                <w:sz w:val="21"/>
                <w:szCs w:val="21"/>
              </w:rPr>
              <w:t>■  Business</w:t>
            </w:r>
            <w:proofErr w:type="gramEnd"/>
            <w:r>
              <w:rPr>
                <w:b/>
                <w:bCs/>
                <w:color w:val="B45F14"/>
                <w:sz w:val="21"/>
                <w:szCs w:val="21"/>
              </w:rPr>
              <w:t xml:space="preserve"> Value</w:t>
            </w:r>
          </w:p>
          <w:p w14:paraId="327D4223" w14:textId="77777777" w:rsidR="005B680C" w:rsidRDefault="00477B0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0"/>
                <w:szCs w:val="20"/>
              </w:rPr>
              <w:t>Tenure has, by a clear margin, the strongest relationship with churn — longer-tenured customers are far less likely to leave.</w:t>
            </w:r>
          </w:p>
          <w:p w14:paraId="0A5EF70F" w14:textId="77777777" w:rsidR="005B680C" w:rsidRDefault="00477B0F">
            <w:pPr>
              <w:pStyle w:val="ListParagraph"/>
              <w:numPr>
                <w:ilvl w:val="0"/>
                <w:numId w:val="3"/>
              </w:num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MonthlyCharges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SeniorCitizen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 weaker positive relationships with churn and are secondary risk signals.</w:t>
            </w:r>
          </w:p>
          <w:p w14:paraId="7838B2B8" w14:textId="77777777" w:rsidR="005B680C" w:rsidRDefault="00477B0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3333"/>
                <w:sz w:val="20"/>
                <w:szCs w:val="20"/>
              </w:rPr>
              <w:t>These correlations provide a validated feature set for building a predictive churn model.</w:t>
            </w:r>
          </w:p>
        </w:tc>
      </w:tr>
    </w:tbl>
    <w:p w14:paraId="092A8E1D" w14:textId="77777777" w:rsidR="005B680C" w:rsidRDefault="00477B0F">
      <w:r>
        <w:br w:type="page"/>
      </w:r>
    </w:p>
    <w:p w14:paraId="409A95F3" w14:textId="77777777" w:rsidR="005B680C" w:rsidRDefault="00477B0F">
      <w:pPr>
        <w:pStyle w:val="Heading1"/>
        <w:pBdr>
          <w:bottom w:val="single" w:sz="10" w:space="6" w:color="E07A1F"/>
        </w:pBdr>
        <w:spacing w:before="480" w:after="200"/>
      </w:pPr>
      <w:r>
        <w:rPr>
          <w:b/>
          <w:bCs/>
          <w:color w:val="B45F14"/>
        </w:rPr>
        <w:lastRenderedPageBreak/>
        <w:t xml:space="preserve">5.  </w:t>
      </w:r>
      <w:r>
        <w:rPr>
          <w:b/>
          <w:bCs/>
          <w:color w:val="0D2740"/>
        </w:rPr>
        <w:t>Consolidated Business Insights</w:t>
      </w:r>
    </w:p>
    <w:p w14:paraId="05775396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r>
        <w:t>Churn distribution is right-skewed, with a substantial minority of customers churning — a material and quantifiable revenue risk.</w:t>
      </w:r>
    </w:p>
    <w:p w14:paraId="4DCE5FD5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r>
        <w:t>Customers on month-to-month contracts show markedly higher churn than those on annual contracts.</w:t>
      </w:r>
    </w:p>
    <w:p w14:paraId="013F4D04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r>
        <w:t>Tenure (–0.35) has the strong</w:t>
      </w:r>
      <w:r>
        <w:t>est relationship with churn of any numeric attribute — longer service duration reduces churn risk.</w:t>
      </w:r>
    </w:p>
    <w:p w14:paraId="747A55BC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proofErr w:type="spellStart"/>
      <w:r>
        <w:t>MonthlyCharges</w:t>
      </w:r>
      <w:proofErr w:type="spellEnd"/>
      <w:r>
        <w:t xml:space="preserve"> (+0.19) and </w:t>
      </w:r>
      <w:proofErr w:type="spellStart"/>
      <w:r>
        <w:t>SeniorCitizen</w:t>
      </w:r>
      <w:proofErr w:type="spellEnd"/>
      <w:r>
        <w:t xml:space="preserve"> (+0.15) show weak positive relationships with churn and act as secondary risk indicators.</w:t>
      </w:r>
    </w:p>
    <w:p w14:paraId="143811D9" w14:textId="77777777" w:rsidR="005B680C" w:rsidRDefault="00477B0F">
      <w:pPr>
        <w:pStyle w:val="ListParagraph"/>
        <w:numPr>
          <w:ilvl w:val="0"/>
          <w:numId w:val="2"/>
        </w:numPr>
        <w:spacing w:after="90"/>
      </w:pPr>
      <w:r>
        <w:t>Gender shows no meaningful</w:t>
      </w:r>
      <w:r>
        <w:t xml:space="preserve"> difference in churn rate and is not a useful targeting variable.</w:t>
      </w:r>
    </w:p>
    <w:p w14:paraId="46117D49" w14:textId="77777777" w:rsidR="005B680C" w:rsidRDefault="00477B0F">
      <w:pPr>
        <w:pStyle w:val="Heading1"/>
        <w:pBdr>
          <w:bottom w:val="single" w:sz="10" w:space="6" w:color="E07A1F"/>
        </w:pBdr>
        <w:spacing w:before="480" w:after="200"/>
      </w:pPr>
      <w:r>
        <w:rPr>
          <w:b/>
          <w:bCs/>
          <w:color w:val="B45F14"/>
        </w:rPr>
        <w:t xml:space="preserve">6.  </w:t>
      </w:r>
      <w:r>
        <w:rPr>
          <w:b/>
          <w:bCs/>
          <w:color w:val="0D2740"/>
        </w:rPr>
        <w:t>Recommendations</w:t>
      </w:r>
    </w:p>
    <w:p w14:paraId="28002FFD" w14:textId="370DF575" w:rsidR="005B680C" w:rsidRDefault="00967E3A">
      <w:pPr>
        <w:pStyle w:val="ListParagraph"/>
        <w:numPr>
          <w:ilvl w:val="0"/>
          <w:numId w:val="2"/>
        </w:numPr>
        <w:spacing w:after="90"/>
      </w:pPr>
      <w:r w:rsidRPr="00967E3A">
        <w:t>Focus on keeping customers who have month-to-month contracts, as they are more likely to leave.</w:t>
      </w:r>
    </w:p>
    <w:p w14:paraId="2A3DC7EA" w14:textId="4EC2D849" w:rsidR="005B680C" w:rsidRDefault="00967E3A">
      <w:pPr>
        <w:pStyle w:val="ListParagraph"/>
        <w:numPr>
          <w:ilvl w:val="0"/>
          <w:numId w:val="2"/>
        </w:numPr>
        <w:spacing w:after="90"/>
      </w:pPr>
      <w:r w:rsidRPr="00967E3A">
        <w:t>Offer discounts, reward programs, or bundled services to encourage customers to switch from month-to-month to annual contracts.</w:t>
      </w:r>
    </w:p>
    <w:p w14:paraId="1F2B2F08" w14:textId="6115B1A6" w:rsidR="005B680C" w:rsidRDefault="00967E3A">
      <w:pPr>
        <w:pStyle w:val="ListParagraph"/>
        <w:numPr>
          <w:ilvl w:val="0"/>
          <w:numId w:val="2"/>
        </w:numPr>
        <w:spacing w:after="90"/>
      </w:pPr>
      <w:r w:rsidRPr="00967E3A">
        <w:t>Pay special attention to new customers, especially during their first few months, because they have a higher risk of churning.</w:t>
      </w:r>
    </w:p>
    <w:p w14:paraId="56B80345" w14:textId="15CBE6BF" w:rsidR="005B680C" w:rsidRDefault="00967E3A">
      <w:pPr>
        <w:pStyle w:val="ListParagraph"/>
        <w:numPr>
          <w:ilvl w:val="0"/>
          <w:numId w:val="2"/>
        </w:numPr>
        <w:spacing w:after="90"/>
      </w:pPr>
      <w:r w:rsidRPr="00967E3A">
        <w:t>Keep</w:t>
      </w:r>
      <w:r>
        <w:t xml:space="preserve"> </w:t>
      </w:r>
      <w:r w:rsidRPr="00967E3A">
        <w:t>an eye on customers with higher monthly charges and provide extra support or highlight the value of your services to improve customer satisfaction.</w:t>
      </w:r>
    </w:p>
    <w:p w14:paraId="15D14E64" w14:textId="77777777" w:rsidR="005B680C" w:rsidRDefault="00477B0F">
      <w:pPr>
        <w:pStyle w:val="Heading1"/>
        <w:pBdr>
          <w:bottom w:val="single" w:sz="10" w:space="6" w:color="E07A1F"/>
        </w:pBdr>
        <w:spacing w:before="480" w:after="200"/>
      </w:pPr>
      <w:r>
        <w:rPr>
          <w:b/>
          <w:bCs/>
          <w:color w:val="B45F14"/>
        </w:rPr>
        <w:t>7</w:t>
      </w:r>
      <w:r>
        <w:rPr>
          <w:b/>
          <w:bCs/>
          <w:color w:val="B45F14"/>
        </w:rPr>
        <w:t xml:space="preserve">.  </w:t>
      </w:r>
      <w:r>
        <w:rPr>
          <w:b/>
          <w:bCs/>
          <w:color w:val="0D2740"/>
        </w:rPr>
        <w:t>C</w:t>
      </w:r>
      <w:r>
        <w:rPr>
          <w:b/>
          <w:bCs/>
          <w:color w:val="0D2740"/>
        </w:rPr>
        <w:t>onclusion</w:t>
      </w:r>
    </w:p>
    <w:p w14:paraId="19B9055B" w14:textId="77777777" w:rsidR="005B680C" w:rsidRDefault="00477B0F">
      <w:pPr>
        <w:spacing w:after="160" w:line="300" w:lineRule="auto"/>
      </w:pPr>
      <w:r>
        <w:t>T</w:t>
      </w:r>
      <w:r>
        <w:t xml:space="preserve">his exploratory analysis confirms that customer churn at this telecom company is not random: it is concentrated among short-tenure, month-to-month customers, with pricing and senior-citizen status acting as secondary risk factors. Tenure stands </w:t>
      </w:r>
      <w:r>
        <w:t>out as the single strongest predictor of churn. These findings provide a validated foundation for building a predictive churn model and for designing targeted, cost-effective retention strategies that focus resources on the customers most likely to leave.</w:t>
      </w:r>
    </w:p>
    <w:p w14:paraId="6A0F4248" w14:textId="77777777" w:rsidR="005B680C" w:rsidRDefault="00477B0F">
      <w:pPr>
        <w:pStyle w:val="Heading1"/>
        <w:pBdr>
          <w:bottom w:val="single" w:sz="10" w:space="6" w:color="E07A1F"/>
        </w:pBdr>
        <w:spacing w:before="480" w:after="200"/>
      </w:pPr>
      <w:r>
        <w:rPr>
          <w:b/>
          <w:bCs/>
          <w:color w:val="B45F14"/>
        </w:rPr>
        <w:t xml:space="preserve">8.  </w:t>
      </w:r>
      <w:r>
        <w:rPr>
          <w:b/>
          <w:bCs/>
          <w:color w:val="0D2740"/>
        </w:rPr>
        <w:t>Appendix</w:t>
      </w:r>
    </w:p>
    <w:p w14:paraId="666EB645" w14:textId="77777777" w:rsidR="005B680C" w:rsidRDefault="00477B0F">
      <w:pPr>
        <w:pStyle w:val="Heading2"/>
        <w:spacing w:before="300" w:after="120"/>
      </w:pPr>
      <w:r>
        <w:rPr>
          <w:b/>
          <w:bCs/>
          <w:color w:val="0D2740"/>
        </w:rPr>
        <w:t>Technologies Used</w:t>
      </w:r>
    </w:p>
    <w:p w14:paraId="40536768" w14:textId="77777777" w:rsidR="005B680C" w:rsidRDefault="00477B0F">
      <w:pPr>
        <w:spacing w:after="160" w:line="300" w:lineRule="auto"/>
      </w:pPr>
      <w:proofErr w:type="gramStart"/>
      <w:r>
        <w:t>Python  ·</w:t>
      </w:r>
      <w:proofErr w:type="gramEnd"/>
      <w:r>
        <w:t xml:space="preserve">  Pandas  ·  NumPy  ·  Matplotlib  ·  Seaborn</w:t>
      </w:r>
    </w:p>
    <w:p w14:paraId="5AB2E1AA" w14:textId="77777777" w:rsidR="005B680C" w:rsidRDefault="00477B0F">
      <w:pPr>
        <w:pStyle w:val="Heading2"/>
        <w:spacing w:before="300" w:after="120"/>
      </w:pPr>
      <w:r>
        <w:rPr>
          <w:b/>
          <w:bCs/>
          <w:color w:val="0D2740"/>
        </w:rPr>
        <w:t>Data Source</w:t>
      </w:r>
    </w:p>
    <w:p w14:paraId="1B880B48" w14:textId="77777777" w:rsidR="005B680C" w:rsidRDefault="00477B0F">
      <w:pPr>
        <w:spacing w:after="160" w:line="300" w:lineRule="auto"/>
      </w:pPr>
      <w:r>
        <w:t>Telecom Customer Churn Prediction dataset.</w:t>
      </w:r>
    </w:p>
    <w:p w14:paraId="6A409829" w14:textId="77777777" w:rsidR="00A12141" w:rsidRDefault="00A12141">
      <w:pPr>
        <w:rPr>
          <w:b/>
          <w:bCs/>
          <w:color w:val="0D2740"/>
          <w:sz w:val="26"/>
          <w:szCs w:val="26"/>
        </w:rPr>
      </w:pPr>
      <w:r>
        <w:rPr>
          <w:b/>
          <w:bCs/>
          <w:color w:val="0D2740"/>
        </w:rPr>
        <w:br w:type="page"/>
      </w:r>
    </w:p>
    <w:p w14:paraId="4D25786F" w14:textId="566B3798" w:rsidR="005B680C" w:rsidRDefault="00477B0F">
      <w:pPr>
        <w:pStyle w:val="Heading2"/>
        <w:spacing w:before="300" w:after="120"/>
      </w:pPr>
      <w:r>
        <w:rPr>
          <w:b/>
          <w:bCs/>
          <w:color w:val="0D2740"/>
        </w:rPr>
        <w:lastRenderedPageBreak/>
        <w:t>Analysis Notebook</w:t>
      </w:r>
    </w:p>
    <w:p w14:paraId="318A2BC4" w14:textId="5B563B8A" w:rsidR="005B680C" w:rsidRDefault="00477B0F">
      <w:pPr>
        <w:spacing w:after="160" w:line="300" w:lineRule="auto"/>
      </w:pPr>
      <w:r>
        <w:t xml:space="preserve">Google </w:t>
      </w:r>
      <w:proofErr w:type="spellStart"/>
      <w:r>
        <w:t>Colab</w:t>
      </w:r>
      <w:proofErr w:type="spellEnd"/>
      <w:r>
        <w:t xml:space="preserve"> notebook</w:t>
      </w:r>
      <w:r w:rsidR="00A12141">
        <w:t>:</w:t>
      </w:r>
    </w:p>
    <w:p w14:paraId="1636FBEC" w14:textId="0C38B55A" w:rsidR="00A12141" w:rsidRDefault="00A12141">
      <w:pPr>
        <w:spacing w:after="160" w:line="300" w:lineRule="auto"/>
      </w:pPr>
      <w:r w:rsidRPr="00A12141">
        <w:t>https://colab.research.google.com/drive/1aAbzICplr3eH4idGwD2DPbW59YV-Xw3d#scrollTo=8gXIJnbHJUjY</w:t>
      </w:r>
    </w:p>
    <w:p w14:paraId="1CBDD832" w14:textId="77777777" w:rsidR="005B680C" w:rsidRDefault="00477B0F">
      <w:pPr>
        <w:pStyle w:val="Heading2"/>
        <w:spacing w:before="300" w:after="120"/>
      </w:pPr>
      <w:r>
        <w:rPr>
          <w:b/>
          <w:bCs/>
          <w:color w:val="0D2740"/>
        </w:rPr>
        <w:t>Author</w:t>
      </w:r>
    </w:p>
    <w:p w14:paraId="3A1BAF69" w14:textId="77777777" w:rsidR="005B680C" w:rsidRDefault="00477B0F">
      <w:pPr>
        <w:spacing w:after="160" w:line="300" w:lineRule="auto"/>
      </w:pPr>
      <w:r>
        <w:t xml:space="preserve">Mohammad </w:t>
      </w:r>
      <w:proofErr w:type="spellStart"/>
      <w:r>
        <w:t>Mijanur</w:t>
      </w:r>
      <w:proofErr w:type="spellEnd"/>
      <w:r>
        <w:t xml:space="preserve"> Rahma</w:t>
      </w:r>
      <w:r>
        <w:t>n — Data Analytics | Python | SQL | Machine Learning | Data Visualization</w:t>
      </w:r>
    </w:p>
    <w:p w14:paraId="5254AC38" w14:textId="769200C1" w:rsidR="005B680C" w:rsidRDefault="005B680C">
      <w:pPr>
        <w:spacing w:after="160" w:line="300" w:lineRule="auto"/>
      </w:pPr>
    </w:p>
    <w:sectPr w:rsidR="005B680C">
      <w:headerReference w:type="default" r:id="rId11"/>
      <w:footerReference w:type="default" r:id="rId12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E3178A" w14:textId="77777777" w:rsidR="00477B0F" w:rsidRDefault="00477B0F">
      <w:r>
        <w:separator/>
      </w:r>
    </w:p>
  </w:endnote>
  <w:endnote w:type="continuationSeparator" w:id="0">
    <w:p w14:paraId="7B5DAF62" w14:textId="77777777" w:rsidR="00477B0F" w:rsidRDefault="00477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79CD0F" w14:textId="4E736090" w:rsidR="005B680C" w:rsidRDefault="00477B0F">
    <w:pPr>
      <w:pBdr>
        <w:top w:val="single" w:sz="4" w:space="4" w:color="DDDDDD"/>
      </w:pBdr>
      <w:jc w:val="center"/>
    </w:pPr>
    <w:r>
      <w:rPr>
        <w:color w:val="808080"/>
        <w:sz w:val="16"/>
        <w:szCs w:val="16"/>
      </w:rPr>
      <w:t xml:space="preserve">Confidential — Prepared by Mohammad </w:t>
    </w:r>
    <w:proofErr w:type="spellStart"/>
    <w:r>
      <w:rPr>
        <w:color w:val="808080"/>
        <w:sz w:val="16"/>
        <w:szCs w:val="16"/>
      </w:rPr>
      <w:t>Mijanur</w:t>
    </w:r>
    <w:proofErr w:type="spellEnd"/>
    <w:r>
      <w:rPr>
        <w:color w:val="808080"/>
        <w:sz w:val="16"/>
        <w:szCs w:val="16"/>
      </w:rPr>
      <w:t xml:space="preserve"> Rahman    | 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967E3A">
      <w:rPr>
        <w:color w:val="808080"/>
        <w:sz w:val="16"/>
        <w:szCs w:val="16"/>
      </w:rPr>
      <w:fldChar w:fldCharType="separate"/>
    </w:r>
    <w:r w:rsidR="00967E3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 w:rsidR="00967E3A">
      <w:rPr>
        <w:color w:val="808080"/>
        <w:sz w:val="16"/>
        <w:szCs w:val="16"/>
      </w:rPr>
      <w:fldChar w:fldCharType="separate"/>
    </w:r>
    <w:r w:rsidR="00967E3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70042F" w14:textId="77777777" w:rsidR="00477B0F" w:rsidRDefault="00477B0F">
      <w:r>
        <w:separator/>
      </w:r>
    </w:p>
  </w:footnote>
  <w:footnote w:type="continuationSeparator" w:id="0">
    <w:p w14:paraId="093D254A" w14:textId="77777777" w:rsidR="00477B0F" w:rsidRDefault="00477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9B16CF" w14:textId="77777777" w:rsidR="005B680C" w:rsidRDefault="00477B0F">
    <w:pPr>
      <w:pBdr>
        <w:bottom w:val="single" w:sz="4" w:space="4" w:color="DDDDDD"/>
      </w:pBdr>
      <w:tabs>
        <w:tab w:val="right" w:pos="9360"/>
      </w:tabs>
    </w:pPr>
    <w:r>
      <w:rPr>
        <w:b/>
        <w:bCs/>
        <w:color w:val="808080"/>
        <w:sz w:val="16"/>
        <w:szCs w:val="16"/>
      </w:rPr>
      <w:t>TELECOM CUSTOMER CHURN ANALYSIS</w:t>
    </w:r>
    <w:r>
      <w:tab/>
    </w:r>
    <w:r>
      <w:rPr>
        <w:color w:val="808080"/>
        <w:sz w:val="16"/>
        <w:szCs w:val="16"/>
      </w:rPr>
      <w:t>Data Analytics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4D01AF"/>
    <w:multiLevelType w:val="hybridMultilevel"/>
    <w:tmpl w:val="8026D5C6"/>
    <w:lvl w:ilvl="0" w:tplc="CDDAB31C">
      <w:start w:val="1"/>
      <w:numFmt w:val="bullet"/>
      <w:lvlText w:val="•"/>
      <w:lvlJc w:val="left"/>
      <w:pPr>
        <w:ind w:left="403" w:hanging="259"/>
      </w:pPr>
    </w:lvl>
    <w:lvl w:ilvl="1" w:tplc="B4A80F08">
      <w:numFmt w:val="decimal"/>
      <w:lvlText w:val=""/>
      <w:lvlJc w:val="left"/>
    </w:lvl>
    <w:lvl w:ilvl="2" w:tplc="2D06850A">
      <w:numFmt w:val="decimal"/>
      <w:lvlText w:val=""/>
      <w:lvlJc w:val="left"/>
    </w:lvl>
    <w:lvl w:ilvl="3" w:tplc="5832F4F8">
      <w:numFmt w:val="decimal"/>
      <w:lvlText w:val=""/>
      <w:lvlJc w:val="left"/>
    </w:lvl>
    <w:lvl w:ilvl="4" w:tplc="5C5A59A8">
      <w:numFmt w:val="decimal"/>
      <w:lvlText w:val=""/>
      <w:lvlJc w:val="left"/>
    </w:lvl>
    <w:lvl w:ilvl="5" w:tplc="075A4BC4">
      <w:numFmt w:val="decimal"/>
      <w:lvlText w:val=""/>
      <w:lvlJc w:val="left"/>
    </w:lvl>
    <w:lvl w:ilvl="6" w:tplc="EDB27F1A">
      <w:numFmt w:val="decimal"/>
      <w:lvlText w:val=""/>
      <w:lvlJc w:val="left"/>
    </w:lvl>
    <w:lvl w:ilvl="7" w:tplc="68A2682C">
      <w:numFmt w:val="decimal"/>
      <w:lvlText w:val=""/>
      <w:lvlJc w:val="left"/>
    </w:lvl>
    <w:lvl w:ilvl="8" w:tplc="D9E2303A">
      <w:numFmt w:val="decimal"/>
      <w:lvlText w:val=""/>
      <w:lvlJc w:val="left"/>
    </w:lvl>
  </w:abstractNum>
  <w:abstractNum w:abstractNumId="1" w15:restartNumberingAfterBreak="0">
    <w:nsid w:val="41BF7C8A"/>
    <w:multiLevelType w:val="hybridMultilevel"/>
    <w:tmpl w:val="39FCFBA2"/>
    <w:lvl w:ilvl="0" w:tplc="04E640A8">
      <w:start w:val="1"/>
      <w:numFmt w:val="bullet"/>
      <w:lvlText w:val="–"/>
      <w:lvlJc w:val="left"/>
      <w:pPr>
        <w:ind w:left="360" w:hanging="215"/>
      </w:pPr>
    </w:lvl>
    <w:lvl w:ilvl="1" w:tplc="E3188CBE">
      <w:numFmt w:val="decimal"/>
      <w:lvlText w:val=""/>
      <w:lvlJc w:val="left"/>
    </w:lvl>
    <w:lvl w:ilvl="2" w:tplc="FEDA8AF2">
      <w:numFmt w:val="decimal"/>
      <w:lvlText w:val=""/>
      <w:lvlJc w:val="left"/>
    </w:lvl>
    <w:lvl w:ilvl="3" w:tplc="F844D2A4">
      <w:numFmt w:val="decimal"/>
      <w:lvlText w:val=""/>
      <w:lvlJc w:val="left"/>
    </w:lvl>
    <w:lvl w:ilvl="4" w:tplc="941C87D6">
      <w:numFmt w:val="decimal"/>
      <w:lvlText w:val=""/>
      <w:lvlJc w:val="left"/>
    </w:lvl>
    <w:lvl w:ilvl="5" w:tplc="991E9616">
      <w:numFmt w:val="decimal"/>
      <w:lvlText w:val=""/>
      <w:lvlJc w:val="left"/>
    </w:lvl>
    <w:lvl w:ilvl="6" w:tplc="659CA692">
      <w:numFmt w:val="decimal"/>
      <w:lvlText w:val=""/>
      <w:lvlJc w:val="left"/>
    </w:lvl>
    <w:lvl w:ilvl="7" w:tplc="D052643E">
      <w:numFmt w:val="decimal"/>
      <w:lvlText w:val=""/>
      <w:lvlJc w:val="left"/>
    </w:lvl>
    <w:lvl w:ilvl="8" w:tplc="2410068E">
      <w:numFmt w:val="decimal"/>
      <w:lvlText w:val=""/>
      <w:lvlJc w:val="left"/>
    </w:lvl>
  </w:abstractNum>
  <w:abstractNum w:abstractNumId="2" w15:restartNumberingAfterBreak="0">
    <w:nsid w:val="584F062F"/>
    <w:multiLevelType w:val="hybridMultilevel"/>
    <w:tmpl w:val="ED44EC60"/>
    <w:lvl w:ilvl="0" w:tplc="D9867426">
      <w:start w:val="1"/>
      <w:numFmt w:val="bullet"/>
      <w:lvlText w:val="●"/>
      <w:lvlJc w:val="left"/>
      <w:pPr>
        <w:ind w:left="720" w:hanging="360"/>
      </w:pPr>
    </w:lvl>
    <w:lvl w:ilvl="1" w:tplc="56FC7CC0">
      <w:start w:val="1"/>
      <w:numFmt w:val="bullet"/>
      <w:lvlText w:val="○"/>
      <w:lvlJc w:val="left"/>
      <w:pPr>
        <w:ind w:left="1440" w:hanging="360"/>
      </w:pPr>
    </w:lvl>
    <w:lvl w:ilvl="2" w:tplc="40E05638">
      <w:start w:val="1"/>
      <w:numFmt w:val="bullet"/>
      <w:lvlText w:val="■"/>
      <w:lvlJc w:val="left"/>
      <w:pPr>
        <w:ind w:left="2160" w:hanging="360"/>
      </w:pPr>
    </w:lvl>
    <w:lvl w:ilvl="3" w:tplc="292002D0">
      <w:start w:val="1"/>
      <w:numFmt w:val="bullet"/>
      <w:lvlText w:val="●"/>
      <w:lvlJc w:val="left"/>
      <w:pPr>
        <w:ind w:left="2880" w:hanging="360"/>
      </w:pPr>
    </w:lvl>
    <w:lvl w:ilvl="4" w:tplc="4BCA16B4">
      <w:start w:val="1"/>
      <w:numFmt w:val="bullet"/>
      <w:lvlText w:val="○"/>
      <w:lvlJc w:val="left"/>
      <w:pPr>
        <w:ind w:left="3600" w:hanging="360"/>
      </w:pPr>
    </w:lvl>
    <w:lvl w:ilvl="5" w:tplc="398C3B56">
      <w:start w:val="1"/>
      <w:numFmt w:val="bullet"/>
      <w:lvlText w:val="■"/>
      <w:lvlJc w:val="left"/>
      <w:pPr>
        <w:ind w:left="4320" w:hanging="360"/>
      </w:pPr>
    </w:lvl>
    <w:lvl w:ilvl="6" w:tplc="9EE442EC">
      <w:start w:val="1"/>
      <w:numFmt w:val="bullet"/>
      <w:lvlText w:val="●"/>
      <w:lvlJc w:val="left"/>
      <w:pPr>
        <w:ind w:left="5040" w:hanging="360"/>
      </w:pPr>
    </w:lvl>
    <w:lvl w:ilvl="7" w:tplc="C0BC9FB6">
      <w:start w:val="1"/>
      <w:numFmt w:val="bullet"/>
      <w:lvlText w:val="●"/>
      <w:lvlJc w:val="left"/>
      <w:pPr>
        <w:ind w:left="5760" w:hanging="360"/>
      </w:pPr>
    </w:lvl>
    <w:lvl w:ilvl="8" w:tplc="7D4EAF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80C"/>
    <w:rsid w:val="00477B0F"/>
    <w:rsid w:val="005B680C"/>
    <w:rsid w:val="00951217"/>
    <w:rsid w:val="00967E3A"/>
    <w:rsid w:val="00A1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A09FB"/>
  <w15:docId w15:val="{2D3BABD1-89B7-FA4B-BE2D-6569E372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27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1149</Words>
  <Characters>6551</Characters>
  <Application>Microsoft Office Word</Application>
  <DocSecurity>0</DocSecurity>
  <Lines>54</Lines>
  <Paragraphs>15</Paragraphs>
  <ScaleCrop>false</ScaleCrop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11</cp:revision>
  <dcterms:created xsi:type="dcterms:W3CDTF">2026-07-11T07:48:00Z</dcterms:created>
  <dcterms:modified xsi:type="dcterms:W3CDTF">2026-07-10T20:02:00Z</dcterms:modified>
</cp:coreProperties>
</file>