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President</w:t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sz w:val="30"/>
          <w:szCs w:val="30"/>
          <w:rtl w:val="0"/>
        </w:rPr>
        <w:t xml:space="preserve">Board Member</w:t>
        <w:tab/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 xml:space="preserve">                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Reece Dassinger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</w:t>
        <w:tab/>
        <w:tab/>
        <w:t xml:space="preserve">First in command, manages all Board Members.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President provides high-level leadership, sets strategic vision, oversees operations, and manages the Board.  This person is the public face of the Camp.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 as the primary visionary and strategic lead for the organization.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Preside over all Board Meetings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and approve all Standard Operating Procedures (SOPs).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high-level oversight to ensure all departments are meeting milestones.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General Membership Meetups and communicate current information.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the final decision-maker for emergency "on-playa" situations.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0" w:firstLine="72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