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87986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 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860" cy="82296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3" behindDoc="0" locked="0" layoutInCell="0" allowOverlap="1">
            <wp:simplePos x="0" y="0"/>
            <wp:positionH relativeFrom="column">
              <wp:posOffset>4833620</wp:posOffset>
            </wp:positionH>
            <wp:positionV relativeFrom="paragraph">
              <wp:posOffset>-123825</wp:posOffset>
            </wp:positionV>
            <wp:extent cx="1529080" cy="1091565"/>
            <wp:effectExtent l="0" t="0" r="0" b="0"/>
            <wp:wrapSquare wrapText="largest"/>
            <wp:docPr id="2" name="BM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BMlogo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080" cy="1091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>
      <w:pPr>
        <w:pBdr>
          <w:bottom w:val="single" w:sz="12" w:space="1" w:color="000000"/>
        </w:pBdr>
      </w:pPr>
    </w:p>
    <w:p>
      <w:pPr>
        <w:jc w:val="center"/>
      </w:pPr>
      <w:r>
        <w:rPr>
          <w:b/>
          <w:i w:val="0"/>
          <w:sz w:val="22"/>
        </w:rPr>
        <w:t>STANDARD OPERATING PROCEDURE</w:t>
      </w:r>
    </w:p>
    <w:p>
      <w:pPr>
        <w:jc w:val="center"/>
      </w:pPr>
      <w:r>
        <w:rPr>
          <w:b/>
          <w:i w:val="0"/>
          <w:sz w:val="30"/>
        </w:rPr>
        <w:t>IRS 509(a)(2) Administration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SOP Number</w:t>
            </w:r>
          </w:p>
        </w:tc>
        <w:tc>
          <w:tcPr>
            <w:tcW w:type="dxa" w:w="2340"/>
          </w:tcPr>
          <w:p>
            <w:r>
              <w:rPr>
                <w:b w:val="0"/>
                <w:i w:val="0"/>
                <w:sz w:val="18"/>
              </w:rPr>
              <w:t>Tr2</w:t>
            </w:r>
          </w:p>
        </w:tc>
        <w:tc>
          <w:tcPr>
            <w:tcW w:type="dxa" w:w="2340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Department</w:t>
            </w:r>
          </w:p>
        </w:tc>
        <w:tc>
          <w:tcPr>
            <w:tcW w:type="dxa" w:w="2340"/>
          </w:tcPr>
          <w:p>
            <w:r>
              <w:rPr>
                <w:b w:val="0"/>
                <w:i w:val="0"/>
                <w:sz w:val="18"/>
              </w:rPr>
              <w:t>Treasurer</w:t>
            </w:r>
          </w:p>
        </w:tc>
      </w:tr>
      <w:tr>
        <w:tc>
          <w:tcPr>
            <w:tcW w:type="dxa" w:w="2340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Version</w:t>
            </w:r>
          </w:p>
        </w:tc>
        <w:tc>
          <w:tcPr>
            <w:tcW w:type="dxa" w:w="2340"/>
          </w:tcPr>
          <w:p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2340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Effective Date</w:t>
            </w:r>
          </w:p>
        </w:tc>
        <w:tc>
          <w:tcPr>
            <w:tcW w:type="dxa" w:w="2340"/>
          </w:tcPr>
          <w:p>
            <w:r>
              <w:rPr>
                <w:b w:val="0"/>
                <w:i w:val="0"/>
                <w:sz w:val="18"/>
              </w:rPr>
              <w:t>2026-03-04</w:t>
            </w:r>
          </w:p>
        </w:tc>
      </w:tr>
      <w:tr>
        <w:tc>
          <w:tcPr>
            <w:tcW w:type="dxa" w:w="9360"/>
            <w:gridSpan w:val="4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Last Updated: 2026-03-04</w:t>
            </w:r>
          </w:p>
        </w:tc>
      </w:tr>
    </w:tbl>
    <w:p/>
    <w:p>
      <w:pPr>
        <w:pStyle w:val="Heading1"/>
      </w:pPr>
      <w:r>
        <w:rPr>
          <w:color w:val="000000"/>
          <w:sz w:val="26"/>
        </w:rPr>
        <w:t>1. Purpose</w:t>
      </w:r>
    </w:p>
    <w:p>
      <w:r>
        <w:rPr>
          <w:sz w:val="20"/>
        </w:rPr>
        <w:t>This SOP documents the annual compliance requirements for maintaining Nipple Crime's federal tax-exempt status under IRC Section 501(c)(3) with public charity classification under Section 509(a)(2). Compliance is owned by the Treasurer with oversight from the President.</w:t>
      </w:r>
    </w:p>
    <w:p>
      <w:pPr>
        <w:pStyle w:val="Heading1"/>
      </w:pPr>
      <w:r>
        <w:rPr>
          <w:color w:val="000000"/>
          <w:sz w:val="26"/>
        </w:rPr>
        <w:t>2. IRS Determination Letter — Key Details</w:t>
      </w:r>
    </w:p>
    <w:p>
      <w:r>
        <w:rPr>
          <w:sz w:val="20"/>
        </w:rPr>
        <w:t>The original IRS determination letter (dated 05/06/2024) is the foundational legal document for the organization's nonprofit status. Key details from that letter:</w:t>
      </w:r>
    </w:p>
    <w:p/>
    <w:p>
      <w:pPr>
        <w:pStyle w:val="ListBullet"/>
      </w:pPr>
      <w:r>
        <w:rPr>
          <w:sz w:val="20"/>
        </w:rPr>
        <w:t>Legal Name: Camp NC Inc</w:t>
      </w:r>
    </w:p>
    <w:p>
      <w:pPr>
        <w:pStyle w:val="ListBullet"/>
      </w:pPr>
      <w:r>
        <w:rPr>
          <w:sz w:val="20"/>
        </w:rPr>
        <w:t>Address on Record: 527 S Arlington Ave, Reno, NV 89509</w:t>
      </w:r>
    </w:p>
    <w:p>
      <w:pPr>
        <w:pStyle w:val="ListBullet"/>
      </w:pPr>
      <w:r>
        <w:rPr>
          <w:sz w:val="20"/>
        </w:rPr>
        <w:t>Employer ID Number (EIN): 99-1556119</w:t>
      </w:r>
    </w:p>
    <w:p>
      <w:pPr>
        <w:pStyle w:val="ListBullet"/>
      </w:pPr>
      <w:r>
        <w:rPr>
          <w:sz w:val="20"/>
        </w:rPr>
        <w:t>Public Charity Status: 509(a)(2)</w:t>
      </w:r>
    </w:p>
    <w:p>
      <w:pPr>
        <w:pStyle w:val="ListBullet"/>
      </w:pPr>
      <w:r>
        <w:rPr>
          <w:sz w:val="20"/>
        </w:rPr>
        <w:t>Tax-Exempt Under: IRC Section 501(c)(3)</w:t>
      </w:r>
    </w:p>
    <w:p>
      <w:pPr>
        <w:pStyle w:val="ListBullet"/>
      </w:pPr>
      <w:r>
        <w:rPr>
          <w:sz w:val="20"/>
        </w:rPr>
        <w:t>Effective Date of Exemption: February 23, 2024</w:t>
      </w:r>
    </w:p>
    <w:p>
      <w:pPr>
        <w:pStyle w:val="ListBullet"/>
      </w:pPr>
      <w:r>
        <w:rPr>
          <w:sz w:val="20"/>
        </w:rPr>
        <w:t>Accounting Period Ending: January 31 (fiscal year end)</w:t>
      </w:r>
    </w:p>
    <w:p>
      <w:pPr>
        <w:pStyle w:val="ListBullet"/>
      </w:pPr>
      <w:r>
        <w:rPr>
          <w:sz w:val="20"/>
        </w:rPr>
        <w:t>Form 990 / 990-EZ / 990-N Required: Yes (annually)</w:t>
      </w:r>
    </w:p>
    <w:p>
      <w:pPr>
        <w:pStyle w:val="ListBullet"/>
      </w:pPr>
      <w:r>
        <w:rPr>
          <w:sz w:val="20"/>
        </w:rPr>
        <w:t>Contribution Deductibility: Yes -- donors may deduct contributions under IRC Section 170</w:t>
      </w:r>
    </w:p>
    <w:p>
      <w:pPr>
        <w:pStyle w:val="ListBullet"/>
      </w:pPr>
      <w:r>
        <w:rPr>
          <w:sz w:val="20"/>
        </w:rPr>
        <w:t>Addendum Applies: No</w:t>
      </w:r>
    </w:p>
    <w:p>
      <w:pPr>
        <w:pStyle w:val="ListBullet"/>
      </w:pPr>
      <w:r>
        <w:rPr>
          <w:sz w:val="20"/>
        </w:rPr>
        <w:t>IRS Document Locator Number (DLN): 26053516003724</w:t>
      </w:r>
    </w:p>
    <w:p>
      <w:pPr>
        <w:pStyle w:val="ListBullet"/>
      </w:pPr>
      <w:r>
        <w:rPr>
          <w:sz w:val="20"/>
        </w:rPr>
        <w:t>IRS Contact: Customer Service, ID 31954, (877) 829-5500</w:t>
      </w:r>
    </w:p>
    <w:p/>
    <w:p>
      <w:r>
        <w:rPr>
          <w:sz w:val="20"/>
        </w:rPr>
        <w:t>The original letter is filed at: [Shared Drive &gt; Treasurer &gt; IRS &gt; Determination Letter 2024]</w:t>
      </w:r>
    </w:p>
    <w:p>
      <w:r>
        <w:rPr>
          <w:sz w:val="20"/>
        </w:rPr>
        <w:t>A copy should also be kept with the Secretary/President.</w:t>
      </w:r>
    </w:p>
    <w:p>
      <w:pPr>
        <w:pStyle w:val="Heading1"/>
      </w:pPr>
      <w:r>
        <w:rPr>
          <w:color w:val="000000"/>
          <w:sz w:val="26"/>
        </w:rPr>
        <w:t>3. Annual Filing Requirements</w:t>
      </w:r>
    </w:p>
    <w:p>
      <w:r>
        <w:rPr>
          <w:sz w:val="20"/>
        </w:rPr>
        <w:t>Fiscal year end: January 31</w:t>
      </w:r>
    </w:p>
    <w:p>
      <w:r>
        <w:rPr>
          <w:sz w:val="20"/>
        </w:rPr>
        <w:t>Form 990 series due date: June 15 (15th day of the 5th month after fiscal year end)</w:t>
      </w:r>
    </w:p>
    <w:p>
      <w:r>
        <w:rPr>
          <w:sz w:val="20"/>
        </w:rPr>
        <w:t>Extension available: 6-month automatic extension to December 15 (file Form 8868 before June 15)</w:t>
      </w:r>
    </w:p>
    <w:p/>
    <w:p>
      <w:r>
        <w:rPr>
          <w:sz w:val="20"/>
        </w:rPr>
        <w:t>Which Form 990 to file (based on gross receipts):</w:t>
      </w:r>
    </w:p>
    <w:p>
      <w:pPr>
        <w:pStyle w:val="ListBullet"/>
      </w:pPr>
      <w:r>
        <w:rPr>
          <w:sz w:val="20"/>
        </w:rPr>
        <w:t>Form 990-N (e-Postcard): gross receipts normally $50,000 or less</w:t>
      </w:r>
    </w:p>
    <w:p>
      <w:pPr>
        <w:pStyle w:val="ListBullet"/>
      </w:pPr>
      <w:r>
        <w:rPr>
          <w:sz w:val="20"/>
        </w:rPr>
        <w:t>Form 990-EZ: gross receipts $50,001 - $200,000 AND total assets under $500,000</w:t>
      </w:r>
    </w:p>
    <w:p>
      <w:pPr>
        <w:pStyle w:val="ListBullet"/>
      </w:pPr>
      <w:r>
        <w:rPr>
          <w:sz w:val="20"/>
        </w:rPr>
        <w:t>Form 990 (full): gross receipts over $200,000 OR total assets $500,000 or more</w:t>
      </w:r>
    </w:p>
    <w:p/>
    <w:p>
      <w:r>
        <w:rPr>
          <w:sz w:val="20"/>
        </w:rPr>
        <w:t>Treasurer determines which form applies each year based on financials.</w:t>
      </w:r>
    </w:p>
    <w:p>
      <w:r>
        <w:rPr>
          <w:sz w:val="20"/>
        </w:rPr>
        <w:t>Filing is done at IRS.gov (tax-exempt organizations section) or through a CPA.</w:t>
      </w:r>
    </w:p>
    <w:p>
      <w:pPr>
        <w:pStyle w:val="Heading1"/>
      </w:pPr>
      <w:r>
        <w:rPr>
          <w:color w:val="000000"/>
          <w:sz w:val="26"/>
        </w:rPr>
        <w:t>4. Annual Compliance Checklist</w:t>
      </w:r>
    </w:p>
    <w:p>
      <w:r>
        <w:rPr>
          <w:sz w:val="20"/>
        </w:rPr>
        <w:t>Complete the following each fiscal year (year end: January 31):</w:t>
      </w:r>
    </w:p>
    <w:p/>
    <w:p>
      <w:r>
        <w:rPr>
          <w:sz w:val="20"/>
        </w:rPr>
        <w:t>FEBRUARY (immediately after fiscal year end):</w:t>
      </w:r>
    </w:p>
    <w:p>
      <w:pPr>
        <w:pStyle w:val="ListBullet"/>
      </w:pPr>
      <w:r>
        <w:rPr>
          <w:sz w:val="20"/>
        </w:rPr>
        <w:t>Close the books for the fiscal year ended January 31</w:t>
      </w:r>
    </w:p>
    <w:p>
      <w:pPr>
        <w:pStyle w:val="ListBullet"/>
      </w:pPr>
      <w:r>
        <w:rPr>
          <w:sz w:val="20"/>
        </w:rPr>
        <w:t>Compile income and expense summary by category</w:t>
      </w:r>
    </w:p>
    <w:p>
      <w:pPr>
        <w:pStyle w:val="ListBullet"/>
      </w:pPr>
      <w:r>
        <w:rPr>
          <w:sz w:val="20"/>
        </w:rPr>
        <w:t>Reconcile all bank accounts</w:t>
      </w:r>
    </w:p>
    <w:p>
      <w:pPr>
        <w:pStyle w:val="ListBullet"/>
      </w:pPr>
      <w:r>
        <w:rPr>
          <w:sz w:val="20"/>
        </w:rPr>
        <w:t>Collect receipts and documentation for all expenses</w:t>
      </w:r>
    </w:p>
    <w:p/>
    <w:p>
      <w:r>
        <w:rPr>
          <w:sz w:val="20"/>
        </w:rPr>
        <w:t>MARCH - MAY:</w:t>
      </w:r>
    </w:p>
    <w:p>
      <w:pPr>
        <w:pStyle w:val="ListBullet"/>
      </w:pPr>
      <w:r>
        <w:rPr>
          <w:sz w:val="20"/>
        </w:rPr>
        <w:t>Determine which Form 990 applies (see Section 3)</w:t>
      </w:r>
    </w:p>
    <w:p>
      <w:pPr>
        <w:pStyle w:val="ListBullet"/>
      </w:pPr>
      <w:r>
        <w:rPr>
          <w:sz w:val="20"/>
        </w:rPr>
        <w:t>Prepare or engage CPA to prepare the return</w:t>
      </w:r>
    </w:p>
    <w:p>
      <w:pPr>
        <w:pStyle w:val="ListBullet"/>
      </w:pPr>
      <w:r>
        <w:rPr>
          <w:sz w:val="20"/>
        </w:rPr>
        <w:t>Board reviews draft Form 990 before filing</w:t>
      </w:r>
    </w:p>
    <w:p>
      <w:pPr>
        <w:pStyle w:val="ListBullet"/>
      </w:pPr>
      <w:r>
        <w:rPr>
          <w:sz w:val="20"/>
        </w:rPr>
        <w:t>President signs the return</w:t>
      </w:r>
    </w:p>
    <w:p/>
    <w:p>
      <w:r>
        <w:rPr>
          <w:sz w:val="20"/>
        </w:rPr>
        <w:t>BY JUNE 15:</w:t>
      </w:r>
    </w:p>
    <w:p>
      <w:pPr>
        <w:pStyle w:val="ListBullet"/>
      </w:pPr>
      <w:r>
        <w:rPr>
          <w:sz w:val="20"/>
        </w:rPr>
        <w:t>File Form 990 / 990-EZ / 990-N with IRS</w:t>
      </w:r>
    </w:p>
    <w:p>
      <w:pPr>
        <w:pStyle w:val="ListBullet"/>
      </w:pPr>
      <w:r>
        <w:rPr>
          <w:sz w:val="20"/>
        </w:rPr>
        <w:t>OR file Form 8868 for 6-month extension (if needed)</w:t>
      </w:r>
    </w:p>
    <w:p>
      <w:pPr>
        <w:pStyle w:val="ListBullet"/>
      </w:pPr>
      <w:r>
        <w:rPr>
          <w:sz w:val="20"/>
        </w:rPr>
        <w:t>Save filed return and IRS acknowledgment to: [Shared Drive &gt; Treasurer &gt; IRS &gt; 990 &gt; YYYY]</w:t>
      </w:r>
    </w:p>
    <w:p/>
    <w:p>
      <w:r>
        <w:rPr>
          <w:sz w:val="20"/>
        </w:rPr>
        <w:t>ONGOING:</w:t>
      </w:r>
    </w:p>
    <w:p>
      <w:pPr>
        <w:pStyle w:val="ListBullet"/>
      </w:pPr>
      <w:r>
        <w:rPr>
          <w:sz w:val="20"/>
        </w:rPr>
        <w:t>Notify IRS of any change in address or responsible party (Form 8822-B within 60 days)</w:t>
      </w:r>
    </w:p>
    <w:p>
      <w:pPr>
        <w:pStyle w:val="ListBullet"/>
      </w:pPr>
      <w:r>
        <w:rPr>
          <w:sz w:val="20"/>
        </w:rPr>
        <w:t>Do not allow status to lapse -- failure to file 3 consecutive years results in automatic revocation</w:t>
      </w:r>
    </w:p>
    <w:p>
      <w:pPr>
        <w:pStyle w:val="ListBullet"/>
      </w:pPr>
      <w:r>
        <w:rPr>
          <w:sz w:val="20"/>
        </w:rPr>
        <w:t>Keep determination letter accessible at all times (required to show donor deductibility)</w:t>
      </w:r>
    </w:p>
    <w:p>
      <w:pPr>
        <w:pStyle w:val="Heading1"/>
      </w:pPr>
      <w:r>
        <w:rPr>
          <w:color w:val="000000"/>
          <w:sz w:val="26"/>
        </w:rPr>
        <w:t>5. What 509(a)(2) Means for Camp Operations</w:t>
      </w:r>
    </w:p>
    <w:p>
      <w:pPr>
        <w:pStyle w:val="ListBullet"/>
      </w:pPr>
      <w:r>
        <w:rPr>
          <w:sz w:val="20"/>
        </w:rPr>
        <w:t>Nipple Crime is classified as a publicly supported charity (not a private foundation)</w:t>
      </w:r>
    </w:p>
    <w:p>
      <w:pPr>
        <w:pStyle w:val="ListBullet"/>
      </w:pPr>
      <w:r>
        <w:rPr>
          <w:sz w:val="20"/>
        </w:rPr>
        <w:t>Donors may deduct contributions on their federal tax returns</w:t>
      </w:r>
    </w:p>
    <w:p>
      <w:pPr>
        <w:pStyle w:val="ListBullet"/>
      </w:pPr>
      <w:r>
        <w:rPr>
          <w:sz w:val="20"/>
        </w:rPr>
        <w:t>Camp must maintain broad public support -- dues, ticket sales, and participation fees generally qualify as public support under 509(a)(2)</w:t>
      </w:r>
    </w:p>
    <w:p>
      <w:pPr>
        <w:pStyle w:val="ListBullet"/>
      </w:pPr>
      <w:r>
        <w:rPr>
          <w:sz w:val="20"/>
        </w:rPr>
        <w:t>Excessive reliance on a single donor or source could jeopardize status -- flag to Treasurer if any single donor contributes more than 33% of total annual revenue</w:t>
      </w:r>
    </w:p>
    <w:p>
      <w:pPr>
        <w:pStyle w:val="ListBullet"/>
      </w:pPr>
      <w:r>
        <w:rPr>
          <w:sz w:val="20"/>
        </w:rPr>
        <w:t>Investment income is permissible but should remain incidental</w:t>
      </w:r>
    </w:p>
    <w:p>
      <w:pPr>
        <w:pStyle w:val="Heading1"/>
      </w:pPr>
      <w:r>
        <w:rPr>
          <w:color w:val="000000"/>
          <w:sz w:val="26"/>
        </w:rPr>
        <w:t>6. Record Keeping</w:t>
      </w:r>
    </w:p>
    <w:p>
      <w:r>
        <w:rPr>
          <w:sz w:val="20"/>
        </w:rPr>
        <w:t>Retain all of the following for a minimum of 7 years:</w:t>
      </w:r>
    </w:p>
    <w:p>
      <w:pPr>
        <w:pStyle w:val="ListBullet"/>
      </w:pPr>
      <w:r>
        <w:rPr>
          <w:sz w:val="20"/>
        </w:rPr>
        <w:t>IRS determination letter</w:t>
      </w:r>
    </w:p>
    <w:p>
      <w:pPr>
        <w:pStyle w:val="ListBullet"/>
      </w:pPr>
      <w:r>
        <w:rPr>
          <w:sz w:val="20"/>
        </w:rPr>
        <w:t>All filed Form 990 / 990-EZ / 990-N returns</w:t>
      </w:r>
    </w:p>
    <w:p>
      <w:pPr>
        <w:pStyle w:val="ListBullet"/>
      </w:pPr>
      <w:r>
        <w:rPr>
          <w:sz w:val="20"/>
        </w:rPr>
        <w:t>Form 8868 extension requests (if any)</w:t>
      </w:r>
    </w:p>
    <w:p>
      <w:pPr>
        <w:pStyle w:val="ListBullet"/>
      </w:pPr>
      <w:r>
        <w:rPr>
          <w:sz w:val="20"/>
        </w:rPr>
        <w:t>Annual financial statements and bank reconciliations</w:t>
      </w:r>
    </w:p>
    <w:p>
      <w:pPr>
        <w:pStyle w:val="ListBullet"/>
      </w:pPr>
      <w:r>
        <w:rPr>
          <w:sz w:val="20"/>
        </w:rPr>
        <w:t>Board meeting minutes approving annual budget and major expenditures</w:t>
      </w:r>
    </w:p>
    <w:p>
      <w:pPr>
        <w:pStyle w:val="ListBullet"/>
      </w:pPr>
      <w:r>
        <w:rPr>
          <w:sz w:val="20"/>
        </w:rPr>
        <w:t>Any IRS correspondence</w:t>
      </w:r>
    </w:p>
    <w:p/>
    <w:p>
      <w:r>
        <w:rPr>
          <w:sz w:val="20"/>
        </w:rPr>
        <w:t>File location: [Shared Drive &gt; Treasurer &gt; IRS &gt; ]</w:t>
      </w:r>
    </w:p>
    <w:p>
      <w:pPr>
        <w:pStyle w:val="Heading1"/>
      </w:pPr>
      <w:r>
        <w:rPr>
          <w:color w:val="000000"/>
          <w:sz w:val="26"/>
        </w:rPr>
        <w:t>7. Contacts</w:t>
      </w:r>
    </w:p>
    <w:p>
      <w:pPr>
        <w:pStyle w:val="ListBullet"/>
      </w:pPr>
      <w:r>
        <w:rPr>
          <w:sz w:val="20"/>
        </w:rPr>
        <w:t>IRS Tax-Exempt Organizations: (877) 829-5500 (Customer Service ID: 31954)</w:t>
      </w:r>
    </w:p>
    <w:p>
      <w:pPr>
        <w:pStyle w:val="ListBullet"/>
      </w:pPr>
      <w:r>
        <w:rPr>
          <w:sz w:val="20"/>
        </w:rPr>
        <w:t>IRS Website: irs.gov/charities-non-profits</w:t>
      </w:r>
    </w:p>
    <w:p>
      <w:pPr>
        <w:pStyle w:val="ListBullet"/>
      </w:pPr>
      <w:r>
        <w:rPr>
          <w:sz w:val="20"/>
        </w:rPr>
        <w:t>Treasurer (filing owner): Isabel Hoy -- izhoy@yahoo.com</w:t>
      </w:r>
    </w:p>
    <w:p>
      <w:pPr>
        <w:pStyle w:val="ListBullet"/>
      </w:pPr>
      <w:r>
        <w:rPr>
          <w:sz w:val="20"/>
        </w:rPr>
        <w:t>President (signs returns, oversight): Reece Dassinger -- reece@nipplecrime.org</w:t>
      </w:r>
    </w:p>
    <w:p>
      <w:pPr>
        <w:pStyle w:val="ListBullet"/>
      </w:pPr>
      <w:r>
        <w:rPr>
          <w:sz w:val="20"/>
        </w:rPr>
        <w:t>VP / SOP Owner: Chris Reddin -- creddin1@hotmail.com</w:t>
      </w:r>
    </w:p>
    <w:p>
      <w:pPr>
        <w:pStyle w:val="Heading1"/>
      </w:pPr>
      <w:r>
        <w:rPr>
          <w:color w:val="000000"/>
          <w:sz w:val="26"/>
        </w:rPr>
        <w:t>8. Revision History</w:t>
      </w:r>
    </w:p>
    <w:p>
      <w:pPr>
        <w:pStyle w:val="ListBullet"/>
      </w:pPr>
      <w:r>
        <w:rPr>
          <w:sz w:val="20"/>
        </w:rPr>
        <w:t>v1.0 | 2026-03-04 | Initial draft | Chris Reddin</w:t>
      </w:r>
    </w:p>
    <w:sectPr w:rsidR="00FC693F" w:rsidRPr="0006063C" w:rsidSect="00034616">
      <w:footerReference w:type="default" r:id="rId11"/>
      <w:pgSz w:w="12240" w:h="15840"/>
      <w:pgMar w:top="72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808080"/>
        <w:sz w:val="16"/>
      </w:rPr>
      <w:t>Nipple Crime Theme Camp  |  Tr2 IRS 509(a)(2) Administration  |  Ver 1.0  |  Confidential —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