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Report</w:t>
      </w:r>
    </w:p>
    <w:p>
      <w:pPr>
        <w:pStyle w:val="Heading1"/>
      </w:pPr>
      <w:r>
        <w:t>Summary</w:t>
      </w:r>
    </w:p>
    <w:p>
      <w:r>
        <w:t xml:space="preserve">The quarterly results </w:t>
      </w:r>
      <w:r>
        <w:rPr>
          <w:b/>
        </w:rPr>
        <w:t>exceeded</w:t>
      </w:r>
      <w:r>
        <w:t xml:space="preserve"> projections in every region except </w:t>
      </w:r>
      <w:r>
        <w:rPr>
          <w:i/>
          <w:color w:val="C00000"/>
        </w:rPr>
        <w:t>EMEA</w:t>
      </w:r>
      <w:r>
        <w:t>, where currency effects reduced reported growth by roughly four points.</w:t>
      </w:r>
    </w:p>
    <w:p>
      <w:pPr>
        <w:pStyle w:val="Heading2"/>
      </w:pPr>
      <w:r>
        <w:t>Regional detail</w:t>
      </w:r>
    </w:p>
    <w:p>
      <w:r>
        <w:rPr>
          <w:sz w:val="28"/>
        </w:rPr>
        <w:t xml:space="preserve">North America grew 14% year over year. </w:t>
      </w:r>
      <w:r>
        <w:rPr>
          <w:u w:val="single"/>
        </w:rPr>
        <w:t>Underlined</w:t>
      </w:r>
      <w:r>
        <w:t xml:space="preserve"> and </w:t>
      </w:r>
      <w:r>
        <w:rPr>
          <w:strike/>
        </w:rPr>
        <w:t>struck</w:t>
      </w:r>
      <w:r>
        <w:t xml:space="preserve"> and x</w:t>
      </w:r>
      <w:r>
        <w:rPr>
          <w:vertAlign w:val="superscript"/>
        </w:rPr>
        <w:t>2</w:t>
      </w:r>
      <w:r>
        <w:t>.</w:t>
        <w:tab/>
        <w:t>Tabbed text here.</w:t>
      </w:r>
    </w:p>
    <w:p>
      <w:pPr>
        <w:pStyle w:val="ListBullet"/>
      </w:pPr>
      <w:r>
        <w:t>First bullet</w:t>
      </w:r>
    </w:p>
    <w:p>
      <w:pPr>
        <w:pStyle w:val="ListBullet"/>
      </w:pPr>
      <w:r>
        <w:t>Second bullet</w:t>
      </w:r>
    </w:p>
    <w:p>
      <w:pPr>
        <w:pStyle w:val="ListNumber"/>
      </w:pPr>
      <w:r>
        <w:t>Numbered one</w:t>
      </w:r>
    </w:p>
    <w:p>
      <w:pPr>
        <w:pStyle w:val="ListNumber"/>
      </w:pPr>
      <w:r>
        <w:t>Numbered two</w:t>
      </w:r>
    </w:p>
    <w:p>
      <w:pPr>
        <w:keepNext/>
        <w:spacing w:before="240"/>
        <w:ind w:left="720" w:hanging="360"/>
        <w:jc w:val="center"/>
      </w:pPr>
      <w:r>
        <w:t>Centered paragraph with a hanging indent.</w:t>
      </w:r>
    </w:p>
    <w:tbl>
      <w:tblPr>
        <w:tblStyle w:val="TableGrid"/>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bl>
    <w:p>
      <w:r>
        <w:t>Text after the table, before a page break.</w:t>
      </w:r>
      <w:r>
        <w:br w:type="page"/>
      </w:r>
    </w:p>
    <w:p>
      <w:r>
        <w:t>Appendix A — Methodology</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