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><w:body><w:p w:rsidR="00C62A19" w:rsidRDefault="00C62A19" w14:paraId="1A2B3C4D" w14:textId="77777777"><w:r w:rsidRPr="00C62A19"><w:t xml:space="preserve">Rels point at parts that do not exist.</w:t></w:r></w:p><w:sectPr><w:pgSz w:w="12240" w:h="15840"/><w:pgMar w:top="1440" w:right="1440" w:bottom="1440" w:left="1440" w:header="720" w:footer="720" w:gutter="0"/><w:cols w:space="720"/><w:docGrid w:linePitch="360"/></w:sectPr></w:body>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7" Type="http://schemas.openxmlformats.org/officeDocument/2006/relationships/footnotes" Target="footnotes.xml"/><Relationship Id="rId8" Type="http://schemas.openxmlformats.org/officeDocument/2006/relationships/header" Target="header9.xml"/><Relationship Id="rId9" Type="http://schemas.openxmlformats.org/officeDocument/2006/relationships/numbering" Target="numbering.xml"/></Relationships>
</file>