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B6CA8"/>
          <w:sz w:val="24"/>
          <w:szCs w:val="24"/>
        </w:rPr>
        <w:t xml:space="preserve">SPOTLIGHT  ·  PAYMAX  ·  HEALTH</w:t>
      </w:r>
    </w:p>
    <w:p>
      <w:pPr>
        <w:pBdr>
          <w:bottom w:val="single" w:color="C9A227" w:sz="18" w:space="4"/>
        </w:pBdr>
        <w:spacing w:after="0" w:before="80"/>
      </w:pPr>
      <w:r>
        <w:t xml:space="preserve"/>
      </w:r>
    </w:p>
    <w:p>
      <w:pPr>
        <w:spacing w:after="60" w:before="220"/>
      </w:pPr>
      <w:r>
        <w:rPr>
          <w:b/>
          <w:bCs/>
          <w:color w:val="0B2545"/>
          <w:sz w:val="50"/>
          <w:szCs w:val="50"/>
        </w:rPr>
        <w:t xml:space="preserve">Paymax AI Symptom Checker</w:t>
      </w:r>
    </w:p>
    <w:p>
      <w:pPr>
        <w:spacing w:after="40"/>
      </w:pPr>
      <w:r>
        <w:rPr>
          <w:color w:val="5A6472"/>
          <w:sz w:val="26"/>
          <w:szCs w:val="26"/>
        </w:rPr>
        <w:t xml:space="preserve">Competitive Teardown · Africa-First Strategy · PRD · Mobile Screens · Admin Console</w:t>
      </w:r>
    </w:p>
    <w:p>
      <w:pPr>
        <w:spacing w:after="0" w:before="200"/>
      </w:pPr>
      <w:r>
        <w:rPr>
          <w:color w:val="333333"/>
          <w:sz w:val="22"/>
          <w:szCs w:val="22"/>
        </w:rPr>
        <w:t xml:space="preserve">The front door to the Paymax care loop — triage in your language, on any phone, that ends in affordable care you can pay for.</w:t>
      </w:r>
    </w:p>
    <w:p>
      <w:pPr>
        <w:spacing w:before="520"/>
      </w:pPr>
      <w:r>
        <w:rPr>
          <w:color w:val="333333"/>
          <w:sz w:val="22"/>
          <w:szCs w:val="22"/>
        </w:rPr>
        <w:t xml:space="preserve">Prepared for Patrick Egbuji, CEO  ·  28 June 2026  ·  Lagos</w:t>
      </w:r>
    </w:p>
    <w:p>
      <w:pPr>
        <w:spacing w:before="120"/>
      </w:pPr>
      <w:r>
        <w:rPr>
          <w:i/>
          <w:iCs/>
          <w:color w:val="5A6472"/>
          <w:sz w:val="18"/>
          <w:szCs w:val="18"/>
        </w:rPr>
        <w:t xml:space="preserve">Primary market: Nigeria &amp; Africa · Triage/navigation, not diagnosis · No legal/clinical advice — validate with clinicians &amp; counsel</w:t>
      </w:r>
    </w:p>
    <w:p>
      <w:r>
        <w:br w:type="page"/>
      </w:r>
    </w:p>
    <w:p>
      <w:pPr>
        <w:spacing w:after="150"/>
      </w:pPr>
      <w:r>
        <w:rPr>
          <w:b/>
          <w:bCs/>
          <w:color w:val="0B2545"/>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Strategy in one page</w:t>
      </w:r>
    </w:p>
    <w:p>
      <w:pPr>
        <w:pBdr>
          <w:bottom w:val="single" w:color="0E7C7B" w:sz="8" w:space="1"/>
        </w:pBdr>
        <w:spacing w:after="110" w:before="30"/>
      </w:pPr>
      <w:r>
        <w:t xml:space="preserve"/>
      </w:r>
    </w:p>
    <w:p>
      <w:pPr>
        <w:spacing w:after="120" w:line="272"/>
        <w:jc w:val="left"/>
      </w:pPr>
      <w:r>
        <w:rPr>
          <w:b w:val="false"/>
          <w:bCs w:val="false"/>
          <w:i w:val="false"/>
          <w:iCs w:val="false"/>
          <w:color w:val="222222"/>
          <w:sz w:val="22"/>
          <w:szCs w:val="22"/>
        </w:rPr>
        <w:t xml:space="preserve">An AI symptom checker is the cheapest, highest-frequency front door into healthcare — and for Paymax it is the front door to the entire </w:t>
      </w:r>
      <w:r>
        <w:rPr>
          <w:b/>
          <w:bCs/>
          <w:i w:val="false"/>
          <w:iCs w:val="false"/>
          <w:color w:val="222222"/>
          <w:sz w:val="22"/>
          <w:szCs w:val="22"/>
        </w:rPr>
        <w:t xml:space="preserve">care loop</w:t>
      </w:r>
      <w:r>
        <w:rPr>
          <w:b w:val="false"/>
          <w:bCs w:val="false"/>
          <w:i w:val="false"/>
          <w:iCs w:val="false"/>
          <w:color w:val="222222"/>
          <w:sz w:val="22"/>
          <w:szCs w:val="22"/>
        </w:rPr>
        <w:t xml:space="preserve"> (Vet, Pharmacy, Lab, telemedicine). The global market is mature but built for Western patients on smartphones. None of the leaders are built for how Nigerians actually get sick, speak, connect, or pay. That gap is the whole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7F1DC" w:sz="1"/>
              <w:left w:val="single" w:color="C9A227" w:sz="18"/>
              <w:bottom w:val="single" w:color="F7F1DC" w:sz="1"/>
              <w:right w:val="single" w:color="F7F1DC" w:sz="1"/>
            </w:tcBorders>
            <w:shd w:fill="F7F1DC" w:val="clear"/>
            <w:tcMar>
              <w:top w:type="dxa" w:w="120"/>
              <w:left w:type="dxa" w:w="190"/>
              <w:bottom w:type="dxa" w:w="120"/>
              <w:right w:type="dxa" w:w="190"/>
            </w:tcMar>
          </w:tcPr>
          <w:p>
            <w:pPr>
              <w:spacing w:after="60"/>
            </w:pPr>
            <w:r>
              <w:rPr>
                <w:b/>
                <w:bCs/>
                <w:color w:val="0B2545"/>
                <w:sz w:val="21"/>
                <w:szCs w:val="21"/>
              </w:rPr>
              <w:t xml:space="preserve">Positioning (one sentence)</w:t>
            </w:r>
          </w:p>
          <w:p>
            <w:pPr>
              <w:spacing w:after="0" w:line="272"/>
              <w:jc w:val="left"/>
            </w:pPr>
            <w:r>
              <w:rPr>
                <w:b w:val="false"/>
                <w:bCs w:val="false"/>
                <w:i w:val="false"/>
                <w:iCs w:val="false"/>
                <w:color w:val="222222"/>
                <w:sz w:val="22"/>
                <w:szCs w:val="22"/>
              </w:rPr>
              <w:t xml:space="preserve">The only symptom checker built for Nigeria/Africa — it triages in your language by voice on any phone (app, WhatsApp, USSD), understands local disease (malaria, typhoid, sickle cell, TB, maternal), and ends not in a frightening list of diseases but in </w:t>
            </w:r>
            <w:r>
              <w:rPr>
                <w:b/>
                <w:bCs/>
                <w:i w:val="false"/>
                <w:iCs w:val="false"/>
                <w:color w:val="222222"/>
                <w:sz w:val="22"/>
                <w:szCs w:val="22"/>
              </w:rPr>
              <w:t xml:space="preserve">affordable care you pay for from your Paymax wallet</w:t>
            </w:r>
            <w:r>
              <w:rPr>
                <w:b w:val="false"/>
                <w:bCs w:val="false"/>
                <w:i w:val="false"/>
                <w:iCs w:val="false"/>
                <w:color w:val="222222"/>
                <w:sz w:val="22"/>
                <w:szCs w:val="22"/>
              </w:rPr>
              <w:t xml:space="preserve">, with results saved in one place.</w:t>
            </w:r>
          </w:p>
        </w:tc>
      </w:tr>
    </w:tbl>
    <w:p>
      <w:pPr>
        <w:spacing w:after="120" w:line="272"/>
        <w:jc w:val="left"/>
      </w:pPr>
      <w:r>
        <w:rPr>
          <w:b/>
          <w:bCs/>
          <w:i w:val="false"/>
          <w:iCs w:val="false"/>
          <w:color w:val="222222"/>
          <w:sz w:val="22"/>
          <w:szCs w:val="22"/>
        </w:rPr>
        <w:t xml:space="preserve">Why Paymax wins where Ada/Infermedica/Google can't: </w:t>
      </w:r>
      <w:r>
        <w:rPr>
          <w:b w:val="false"/>
          <w:bCs w:val="false"/>
          <w:i w:val="false"/>
          <w:iCs w:val="false"/>
          <w:color w:val="222222"/>
          <w:sz w:val="22"/>
          <w:szCs w:val="22"/>
        </w:rPr>
        <w:t xml:space="preserve">they stop at advice; Paymax connects triage to </w:t>
      </w:r>
      <w:r>
        <w:rPr>
          <w:b/>
          <w:bCs/>
          <w:i w:val="false"/>
          <w:iCs w:val="false"/>
          <w:color w:val="222222"/>
          <w:sz w:val="22"/>
          <w:szCs w:val="22"/>
        </w:rPr>
        <w:t xml:space="preserve">real, affordable, local care + payments + fulfilment + records</w:t>
      </w:r>
      <w:r>
        <w:rPr>
          <w:b w:val="false"/>
          <w:bCs w:val="false"/>
          <w:i w:val="false"/>
          <w:iCs w:val="false"/>
          <w:color w:val="222222"/>
          <w:sz w:val="22"/>
          <w:szCs w:val="22"/>
        </w:rPr>
        <w:t xml:space="preserve"> in one loop — on the rails (wallet, KYC, MapService, last-mile, pharmacy/lab) it already owns.</w:t>
      </w:r>
    </w:p>
    <w:p>
      <w:pPr>
        <w:spacing w:after="120" w:line="272"/>
        <w:jc w:val="left"/>
      </w:pPr>
      <w:r>
        <w:rPr>
          <w:b/>
          <w:bCs/>
          <w:i w:val="false"/>
          <w:iCs w:val="false"/>
          <w:color w:val="222222"/>
          <w:sz w:val="22"/>
          <w:szCs w:val="22"/>
        </w:rPr>
        <w:t xml:space="preserve">Build posture: </w:t>
      </w:r>
      <w:r>
        <w:rPr>
          <w:b w:val="false"/>
          <w:bCs w:val="false"/>
          <w:i w:val="false"/>
          <w:iCs w:val="false"/>
          <w:color w:val="222222"/>
          <w:sz w:val="22"/>
          <w:szCs w:val="22"/>
        </w:rPr>
        <w:t xml:space="preserve">license a clinically-validated triage engine (don't build diagnosis from scratch), wrap it in an Africa-tuning + vernacular-voice + omnichannel layer, and scope strictly to </w:t>
      </w:r>
      <w:r>
        <w:rPr>
          <w:b/>
          <w:bCs/>
          <w:i w:val="false"/>
          <w:iCs w:val="false"/>
          <w:color w:val="222222"/>
          <w:sz w:val="22"/>
          <w:szCs w:val="22"/>
        </w:rPr>
        <w:t xml:space="preserve">triage &amp; navigation, not diagnosis</w:t>
      </w:r>
      <w:r>
        <w:rPr>
          <w:b w:val="false"/>
          <w:bCs w:val="false"/>
          <w:i w:val="false"/>
          <w:iCs w:val="false"/>
          <w:color w:val="222222"/>
          <w:sz w:val="22"/>
          <w:szCs w:val="22"/>
        </w:rPr>
        <w:t xml:space="preserve"> (safer, faster to market, avoids medical-device classification).</w:t>
      </w:r>
    </w:p>
    <w:p>
      <w:r>
        <w:br w:type="page"/>
      </w:r>
    </w:p>
    <w:p>
      <w:pPr>
        <w:pStyle w:val="Heading1"/>
      </w:pPr>
      <w:r>
        <w:t xml:space="preserve">1.  Global competitive teardown</w:t>
      </w:r>
    </w:p>
    <w:p>
      <w:pPr>
        <w:pBdr>
          <w:bottom w:val="single" w:color="0E7C7B" w:sz="8" w:space="1"/>
        </w:pBdr>
        <w:spacing w:after="110" w:before="30"/>
      </w:pPr>
      <w:r>
        <w:t xml:space="preserve"/>
      </w:r>
    </w:p>
    <w:p>
      <w:pPr>
        <w:spacing w:after="120" w:line="272"/>
        <w:jc w:val="left"/>
      </w:pPr>
      <w:r>
        <w:rPr>
          <w:color w:val="222222"/>
          <w:sz w:val="22"/>
          <w:szCs w:val="22"/>
        </w:rPr>
        <w:t xml:space="preserve">The serious players cluster into three archetypes: consumer apps (Ada, Ubie, Buoy, K Health), API engines you license (Infermedica/Symptomate), and LLM/enterprise efforts (ChatGPT, Microsoft Healthcare Agent, Google AMIE). Accuracy and — more importantly — triage safety vary widely.</w:t>
      </w:r>
    </w:p>
    <w:tbl>
      <w:tblPr>
        <w:tblW w:type="dxa" w:w="9360"/>
        <w:tblBorders>
          <w:top w:val="single" w:color="D5DCE3" w:sz="1"/>
          <w:left w:val="single" w:color="D5DCE3" w:sz="1"/>
          <w:bottom w:val="single" w:color="D5DCE3" w:sz="1"/>
          <w:right w:val="single" w:color="D5DCE3" w:sz="1"/>
          <w:insideH w:val="single" w:color="D5DCE3" w:sz="1"/>
          <w:insideV w:val="single" w:color="D5DCE3" w:sz="1"/>
        </w:tblBorders>
      </w:tblPr>
      <w:tblGrid>
        <w:gridCol w:w="1750"/>
        <w:gridCol w:w="1700"/>
        <w:gridCol w:w="2700"/>
        <w:gridCol w:w="3210"/>
      </w:tblGrid>
      <w:tr>
        <w:trPr>
          <w:tblHeader/>
        </w:trPr>
        <w:tc>
          <w:tcPr>
            <w:tcW w:type="dxa" w:w="1750"/>
            <w:shd w:fill="0B2545" w:val="clear"/>
            <w:tcMar>
              <w:top w:type="dxa" w:w="60"/>
              <w:left w:type="dxa" w:w="90"/>
              <w:bottom w:type="dxa" w:w="60"/>
              <w:right w:type="dxa" w:w="90"/>
            </w:tcMar>
            <w:vAlign w:val="center"/>
          </w:tcPr>
          <w:p>
            <w:r>
              <w:rPr>
                <w:b/>
                <w:bCs/>
                <w:color w:val="FFFFFF"/>
                <w:sz w:val="17"/>
                <w:szCs w:val="17"/>
              </w:rPr>
              <w:t xml:space="preserve">Product</w:t>
            </w:r>
          </w:p>
        </w:tc>
        <w:tc>
          <w:tcPr>
            <w:tcW w:type="dxa" w:w="1700"/>
            <w:shd w:fill="0B2545" w:val="clear"/>
            <w:tcMar>
              <w:top w:type="dxa" w:w="60"/>
              <w:left w:type="dxa" w:w="90"/>
              <w:bottom w:type="dxa" w:w="60"/>
              <w:right w:type="dxa" w:w="90"/>
            </w:tcMar>
            <w:vAlign w:val="center"/>
          </w:tcPr>
          <w:p>
            <w:r>
              <w:rPr>
                <w:b/>
                <w:bCs/>
                <w:color w:val="FFFFFF"/>
                <w:sz w:val="17"/>
                <w:szCs w:val="17"/>
              </w:rPr>
              <w:t xml:space="preserve">Method</w:t>
            </w:r>
          </w:p>
        </w:tc>
        <w:tc>
          <w:tcPr>
            <w:tcW w:type="dxa" w:w="2700"/>
            <w:shd w:fill="0B2545" w:val="clear"/>
            <w:tcMar>
              <w:top w:type="dxa" w:w="60"/>
              <w:left w:type="dxa" w:w="90"/>
              <w:bottom w:type="dxa" w:w="60"/>
              <w:right w:type="dxa" w:w="90"/>
            </w:tcMar>
            <w:vAlign w:val="center"/>
          </w:tcPr>
          <w:p>
            <w:r>
              <w:rPr>
                <w:b/>
                <w:bCs/>
                <w:color w:val="FFFFFF"/>
                <w:sz w:val="17"/>
                <w:szCs w:val="17"/>
              </w:rPr>
              <w:t xml:space="preserve">Strength</w:t>
            </w:r>
          </w:p>
        </w:tc>
        <w:tc>
          <w:tcPr>
            <w:tcW w:type="dxa" w:w="3210"/>
            <w:shd w:fill="0B2545" w:val="clear"/>
            <w:tcMar>
              <w:top w:type="dxa" w:w="60"/>
              <w:left w:type="dxa" w:w="90"/>
              <w:bottom w:type="dxa" w:w="60"/>
              <w:right w:type="dxa" w:w="90"/>
            </w:tcMar>
            <w:vAlign w:val="center"/>
          </w:tcPr>
          <w:p>
            <w:r>
              <w:rPr>
                <w:b/>
                <w:bCs/>
                <w:color w:val="FFFFFF"/>
                <w:sz w:val="17"/>
                <w:szCs w:val="17"/>
              </w:rPr>
              <w:t xml:space="preserve">Weakness (esp. for Africa)</w:t>
            </w:r>
          </w:p>
        </w:tc>
      </w:tr>
      <w:tr>
        <w:tc>
          <w:tcPr>
            <w:tcW w:type="dxa" w:w="1750"/>
            <w:shd w:fill="FFFFFF" w:val="clear"/>
            <w:tcMar>
              <w:top w:type="dxa" w:w="48"/>
              <w:left w:type="dxa" w:w="90"/>
              <w:bottom w:type="dxa" w:w="48"/>
              <w:right w:type="dxa" w:w="90"/>
            </w:tcMar>
            <w:vAlign w:val="center"/>
          </w:tcPr>
          <w:p>
            <w:pPr>
              <w:spacing w:after="0" w:line="244"/>
            </w:pPr>
            <w:r>
              <w:rPr>
                <w:b/>
                <w:bCs/>
                <w:i w:val="false"/>
                <w:iCs w:val="false"/>
                <w:color w:val="2A2A2A"/>
                <w:sz w:val="15"/>
                <w:szCs w:val="15"/>
              </w:rPr>
              <w:t xml:space="preserve">Ada Health</w:t>
            </w:r>
          </w:p>
        </w:tc>
        <w:tc>
          <w:tcPr>
            <w:tcW w:type="dxa" w:w="17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Bayesian network, doctor-built</w:t>
            </w:r>
          </w:p>
        </w:tc>
        <w:tc>
          <w:tcPr>
            <w:tcW w:type="dxa" w:w="27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Peer-reviewed; ~11 langs; strong UX; safety-focused</w:t>
            </w:r>
          </w:p>
        </w:tc>
        <w:tc>
          <w:tcPr>
            <w:tcW w:type="dxa" w:w="32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App-only; Western epidemiology; over-triages (ED study: 62% triage agree, 14% unsafe, 24% too cautious); no payments/care fulfilment</w:t>
            </w:r>
          </w:p>
        </w:tc>
      </w:tr>
      <w:tr>
        <w:tc>
          <w:tcPr>
            <w:tcW w:type="dxa" w:w="1750"/>
            <w:shd w:fill="F4F7FA" w:val="clear"/>
            <w:tcMar>
              <w:top w:type="dxa" w:w="48"/>
              <w:left w:type="dxa" w:w="90"/>
              <w:bottom w:type="dxa" w:w="48"/>
              <w:right w:type="dxa" w:w="90"/>
            </w:tcMar>
            <w:vAlign w:val="center"/>
          </w:tcPr>
          <w:p>
            <w:pPr>
              <w:spacing w:after="0" w:line="244"/>
            </w:pPr>
            <w:r>
              <w:rPr>
                <w:b/>
                <w:bCs/>
                <w:i w:val="false"/>
                <w:iCs w:val="false"/>
                <w:color w:val="2A2A2A"/>
                <w:sz w:val="15"/>
                <w:szCs w:val="15"/>
              </w:rPr>
              <w:t xml:space="preserve">Infermedica / Symptomate</w:t>
            </w:r>
          </w:p>
        </w:tc>
        <w:tc>
          <w:tcPr>
            <w:tcW w:type="dxa" w:w="17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Probabilistic inference engine, API-first</w:t>
            </w:r>
          </w:p>
        </w:tc>
        <w:tc>
          <w:tcPr>
            <w:tcW w:type="dxa" w:w="27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1,500+ symptoms / 800+ conditions; ~20 langs; 5-level triage; Class IIb device; ISO/HIPAA/GDPR; white-label</w:t>
            </w:r>
          </w:p>
        </w:tc>
        <w:tc>
          <w:tcPr>
            <w:tcW w:type="dxa" w:w="32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Western default; licensed engine (cost); no African languages/disease tuning or care fulfilment out-of-box</w:t>
            </w:r>
          </w:p>
        </w:tc>
      </w:tr>
      <w:tr>
        <w:tc>
          <w:tcPr>
            <w:tcW w:type="dxa" w:w="1750"/>
            <w:shd w:fill="FFFFFF" w:val="clear"/>
            <w:tcMar>
              <w:top w:type="dxa" w:w="48"/>
              <w:left w:type="dxa" w:w="90"/>
              <w:bottom w:type="dxa" w:w="48"/>
              <w:right w:type="dxa" w:w="90"/>
            </w:tcMar>
            <w:vAlign w:val="center"/>
          </w:tcPr>
          <w:p>
            <w:pPr>
              <w:spacing w:after="0" w:line="244"/>
            </w:pPr>
            <w:r>
              <w:rPr>
                <w:b/>
                <w:bCs/>
                <w:i w:val="false"/>
                <w:iCs w:val="false"/>
                <w:color w:val="2A2A2A"/>
                <w:sz w:val="15"/>
                <w:szCs w:val="15"/>
              </w:rPr>
              <w:t xml:space="preserve">Ubie</w:t>
            </w:r>
          </w:p>
        </w:tc>
        <w:tc>
          <w:tcPr>
            <w:tcW w:type="dxa" w:w="17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Physician-curated + AI</w:t>
            </w:r>
          </w:p>
        </w:tc>
        <w:tc>
          <w:tcPr>
            <w:tcW w:type="dxa" w:w="27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Free triage → paid consult funnel; Top-10 ~71.6% (company study); great UX</w:t>
            </w:r>
          </w:p>
        </w:tc>
        <w:tc>
          <w:tcPr>
            <w:tcW w:type="dxa" w:w="32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Japan/US focus; vignette-only validation; no African context/channels</w:t>
            </w:r>
          </w:p>
        </w:tc>
      </w:tr>
      <w:tr>
        <w:tc>
          <w:tcPr>
            <w:tcW w:type="dxa" w:w="1750"/>
            <w:shd w:fill="F4F7FA" w:val="clear"/>
            <w:tcMar>
              <w:top w:type="dxa" w:w="48"/>
              <w:left w:type="dxa" w:w="90"/>
              <w:bottom w:type="dxa" w:w="48"/>
              <w:right w:type="dxa" w:w="90"/>
            </w:tcMar>
            <w:vAlign w:val="center"/>
          </w:tcPr>
          <w:p>
            <w:pPr>
              <w:spacing w:after="0" w:line="244"/>
            </w:pPr>
            <w:r>
              <w:rPr>
                <w:b/>
                <w:bCs/>
                <w:i w:val="false"/>
                <w:iCs w:val="false"/>
                <w:color w:val="2A2A2A"/>
                <w:sz w:val="15"/>
                <w:szCs w:val="15"/>
              </w:rPr>
              <w:t xml:space="preserve">K Health</w:t>
            </w:r>
          </w:p>
        </w:tc>
        <w:tc>
          <w:tcPr>
            <w:tcW w:type="dxa" w:w="17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AI + primary-care app</w:t>
            </w:r>
          </w:p>
        </w:tc>
        <w:tc>
          <w:tcPr>
            <w:tcW w:type="dxa" w:w="27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Care delivery + AI in one</w:t>
            </w:r>
          </w:p>
        </w:tc>
        <w:tc>
          <w:tcPr>
            <w:tcW w:type="dxa" w:w="32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US-centric; 18+ only; reliability gaps in independent tests</w:t>
            </w:r>
          </w:p>
        </w:tc>
      </w:tr>
      <w:tr>
        <w:tc>
          <w:tcPr>
            <w:tcW w:type="dxa" w:w="1750"/>
            <w:shd w:fill="FFFFFF" w:val="clear"/>
            <w:tcMar>
              <w:top w:type="dxa" w:w="48"/>
              <w:left w:type="dxa" w:w="90"/>
              <w:bottom w:type="dxa" w:w="48"/>
              <w:right w:type="dxa" w:w="90"/>
            </w:tcMar>
            <w:vAlign w:val="center"/>
          </w:tcPr>
          <w:p>
            <w:pPr>
              <w:spacing w:after="0" w:line="244"/>
            </w:pPr>
            <w:r>
              <w:rPr>
                <w:b/>
                <w:bCs/>
                <w:i w:val="false"/>
                <w:iCs w:val="false"/>
                <w:color w:val="2A2A2A"/>
                <w:sz w:val="15"/>
                <w:szCs w:val="15"/>
              </w:rPr>
              <w:t xml:space="preserve">Buoy Health</w:t>
            </w:r>
          </w:p>
        </w:tc>
        <w:tc>
          <w:tcPr>
            <w:tcW w:type="dxa" w:w="17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AI symptom→care nav</w:t>
            </w:r>
          </w:p>
        </w:tc>
        <w:tc>
          <w:tcPr>
            <w:tcW w:type="dxa" w:w="27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Clean consumer UX, US care nav</w:t>
            </w:r>
          </w:p>
        </w:tc>
        <w:tc>
          <w:tcPr>
            <w:tcW w:type="dxa" w:w="32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US-only; reliability issues (crashed in vignette study)</w:t>
            </w:r>
          </w:p>
        </w:tc>
      </w:tr>
      <w:tr>
        <w:tc>
          <w:tcPr>
            <w:tcW w:type="dxa" w:w="1750"/>
            <w:shd w:fill="F4F7FA" w:val="clear"/>
            <w:tcMar>
              <w:top w:type="dxa" w:w="48"/>
              <w:left w:type="dxa" w:w="90"/>
              <w:bottom w:type="dxa" w:w="48"/>
              <w:right w:type="dxa" w:w="90"/>
            </w:tcMar>
            <w:vAlign w:val="center"/>
          </w:tcPr>
          <w:p>
            <w:pPr>
              <w:spacing w:after="0" w:line="244"/>
            </w:pPr>
            <w:r>
              <w:rPr>
                <w:b/>
                <w:bCs/>
                <w:i w:val="false"/>
                <w:iCs w:val="false"/>
                <w:color w:val="2A2A2A"/>
                <w:sz w:val="15"/>
                <w:szCs w:val="15"/>
              </w:rPr>
              <w:t xml:space="preserve">WebMD / ChatGPT (LLM)</w:t>
            </w:r>
          </w:p>
        </w:tc>
        <w:tc>
          <w:tcPr>
            <w:tcW w:type="dxa" w:w="17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Content / generative LLM</w:t>
            </w:r>
          </w:p>
        </w:tc>
        <w:tc>
          <w:tcPr>
            <w:tcW w:type="dxa" w:w="27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Broad recall; conversational</w:t>
            </w:r>
          </w:p>
        </w:tc>
        <w:tc>
          <w:tcPr>
            <w:tcW w:type="dxa" w:w="32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LLMs unsafe at triage (ChatGPT 3.5: 41% unsafe in ED study); hallucination risk; not validated triage</w:t>
            </w:r>
          </w:p>
        </w:tc>
      </w:tr>
      <w:tr>
        <w:tc>
          <w:tcPr>
            <w:tcW w:type="dxa" w:w="1750"/>
            <w:shd w:fill="FFFFFF" w:val="clear"/>
            <w:tcMar>
              <w:top w:type="dxa" w:w="48"/>
              <w:left w:type="dxa" w:w="90"/>
              <w:bottom w:type="dxa" w:w="48"/>
              <w:right w:type="dxa" w:w="90"/>
            </w:tcMar>
            <w:vAlign w:val="center"/>
          </w:tcPr>
          <w:p>
            <w:pPr>
              <w:spacing w:after="0" w:line="244"/>
            </w:pPr>
            <w:r>
              <w:rPr>
                <w:b/>
                <w:bCs/>
                <w:i w:val="false"/>
                <w:iCs w:val="false"/>
                <w:color w:val="2A2A2A"/>
                <w:sz w:val="15"/>
                <w:szCs w:val="15"/>
              </w:rPr>
              <w:t xml:space="preserve">Babylon Health</w:t>
            </w:r>
          </w:p>
        </w:tc>
        <w:tc>
          <w:tcPr>
            <w:tcW w:type="dxa" w:w="17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AI triage + telehealth</w:t>
            </w:r>
          </w:p>
        </w:tc>
        <w:tc>
          <w:tcPr>
            <w:tcW w:type="dxa" w:w="27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Pioneered AI-first triage at scale</w:t>
            </w:r>
          </w:p>
        </w:tc>
        <w:tc>
          <w:tcPr>
            <w:tcW w:type="dxa" w:w="32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Collapsed/bankrupt 2023 — cautionary tale on over-promising + economics</w:t>
            </w:r>
          </w:p>
        </w:tc>
      </w:tr>
      <w:tr>
        <w:tc>
          <w:tcPr>
            <w:tcW w:type="dxa" w:w="1750"/>
            <w:shd w:fill="F4F7FA" w:val="clear"/>
            <w:tcMar>
              <w:top w:type="dxa" w:w="48"/>
              <w:left w:type="dxa" w:w="90"/>
              <w:bottom w:type="dxa" w:w="48"/>
              <w:right w:type="dxa" w:w="90"/>
            </w:tcMar>
            <w:vAlign w:val="center"/>
          </w:tcPr>
          <w:p>
            <w:pPr>
              <w:spacing w:after="0" w:line="244"/>
            </w:pPr>
            <w:r>
              <w:rPr>
                <w:b/>
                <w:bCs/>
                <w:i w:val="false"/>
                <w:iCs w:val="false"/>
                <w:color w:val="2A2A2A"/>
                <w:sz w:val="15"/>
                <w:szCs w:val="15"/>
              </w:rPr>
              <w:t xml:space="preserve">Microsoft Healthcare Agent / Google AMIE</w:t>
            </w:r>
          </w:p>
        </w:tc>
        <w:tc>
          <w:tcPr>
            <w:tcW w:type="dxa" w:w="17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Enterprise / research</w:t>
            </w:r>
          </w:p>
        </w:tc>
        <w:tc>
          <w:tcPr>
            <w:tcW w:type="dxa" w:w="27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Infermedica-powered white-label; cutting-edge research</w:t>
            </w:r>
          </w:p>
        </w:tc>
        <w:tc>
          <w:tcPr>
            <w:tcW w:type="dxa" w:w="32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5"/>
                <w:szCs w:val="15"/>
              </w:rPr>
              <w:t xml:space="preserve">Enterprise/B2B; not a consumer Africa product; explicitly not a diagnostic device</w:t>
            </w:r>
          </w:p>
        </w:tc>
      </w:tr>
    </w:tbl>
    <w:p>
      <w:pPr>
        <w:pStyle w:val="Heading3"/>
      </w:pPr>
      <w:r>
        <w:t xml:space="preserve">Patterns that matter</w:t>
      </w:r>
    </w:p>
    <w:p>
      <w:pPr>
        <w:pStyle w:val="ListParagraph"/>
        <w:numPr>
          <w:ilvl w:val="0"/>
          <w:numId w:val="2"/>
        </w:numPr>
        <w:spacing w:after="70" w:line="268"/>
      </w:pPr>
      <w:r>
        <w:rPr>
          <w:b/>
          <w:bCs/>
          <w:i w:val="false"/>
          <w:iCs w:val="false"/>
          <w:color w:val="222222"/>
          <w:sz w:val="22"/>
          <w:szCs w:val="22"/>
        </w:rPr>
        <w:t xml:space="preserve">Triage safety ≠ diagnostic accuracy. </w:t>
      </w:r>
      <w:r>
        <w:rPr>
          <w:b w:val="false"/>
          <w:bCs w:val="false"/>
          <w:i w:val="false"/>
          <w:iCs w:val="false"/>
          <w:color w:val="222222"/>
          <w:sz w:val="22"/>
          <w:szCs w:val="22"/>
        </w:rPr>
        <w:t xml:space="preserve">The leaders optimise to </w:t>
      </w:r>
      <w:r>
        <w:rPr>
          <w:b/>
          <w:bCs/>
          <w:i w:val="false"/>
          <w:iCs w:val="false"/>
          <w:color w:val="222222"/>
          <w:sz w:val="22"/>
          <w:szCs w:val="22"/>
        </w:rPr>
        <w:t xml:space="preserve">not miss emergencies</w:t>
      </w:r>
      <w:r>
        <w:rPr>
          <w:b w:val="false"/>
          <w:bCs w:val="false"/>
          <w:i w:val="false"/>
          <w:iCs w:val="false"/>
          <w:color w:val="222222"/>
          <w:sz w:val="22"/>
          <w:szCs w:val="22"/>
        </w:rPr>
        <w:t xml:space="preserve"> (sensitivity), accepting over-referral. A 2022 systematic review found triage accuracy ranging widely (~49–90%). Emergency sensitivity is the metric that matters most.</w:t>
      </w:r>
    </w:p>
    <w:p>
      <w:pPr>
        <w:pStyle w:val="ListParagraph"/>
        <w:numPr>
          <w:ilvl w:val="0"/>
          <w:numId w:val="2"/>
        </w:numPr>
        <w:spacing w:after="70" w:line="268"/>
      </w:pPr>
      <w:r>
        <w:rPr>
          <w:b/>
          <w:bCs/>
          <w:i w:val="false"/>
          <w:iCs w:val="false"/>
          <w:color w:val="222222"/>
          <w:sz w:val="22"/>
          <w:szCs w:val="22"/>
        </w:rPr>
        <w:t xml:space="preserve">Probabilistic engines beat pure LLMs on safety. </w:t>
      </w:r>
      <w:r>
        <w:rPr>
          <w:b w:val="false"/>
          <w:bCs w:val="false"/>
          <w:i w:val="false"/>
          <w:iCs w:val="false"/>
          <w:color w:val="222222"/>
          <w:sz w:val="22"/>
          <w:szCs w:val="22"/>
        </w:rPr>
        <w:t xml:space="preserve">Bayesian/inference engines (Ada, Infermedica) are auditable and safer at triage; pure LLMs diagnose well but triage unsafely. The winning pattern is </w:t>
      </w:r>
      <w:r>
        <w:rPr>
          <w:b/>
          <w:bCs/>
          <w:i w:val="false"/>
          <w:iCs w:val="false"/>
          <w:color w:val="222222"/>
          <w:sz w:val="22"/>
          <w:szCs w:val="22"/>
        </w:rPr>
        <w:t xml:space="preserve">engine for reasoning + LLM only for language understanding</w:t>
      </w:r>
      <w:r>
        <w:rPr>
          <w:b w:val="false"/>
          <w:bCs w:val="false"/>
          <w:i w:val="false"/>
          <w:iCs w:val="false"/>
          <w:color w:val="222222"/>
          <w:sz w:val="22"/>
          <w:szCs w:val="22"/>
        </w:rPr>
        <w:t xml:space="preserve">.</w:t>
      </w:r>
    </w:p>
    <w:p>
      <w:pPr>
        <w:pStyle w:val="ListParagraph"/>
        <w:numPr>
          <w:ilvl w:val="0"/>
          <w:numId w:val="2"/>
        </w:numPr>
        <w:spacing w:after="70" w:line="268"/>
      </w:pPr>
      <w:r>
        <w:rPr>
          <w:b/>
          <w:bCs/>
          <w:i w:val="false"/>
          <w:iCs w:val="false"/>
          <w:color w:val="222222"/>
          <w:sz w:val="22"/>
          <w:szCs w:val="22"/>
        </w:rPr>
        <w:t xml:space="preserve">“Buy the engine” is the norm. </w:t>
      </w:r>
      <w:r>
        <w:rPr>
          <w:b w:val="false"/>
          <w:bCs w:val="false"/>
          <w:i w:val="false"/>
          <w:iCs w:val="false"/>
          <w:color w:val="222222"/>
          <w:sz w:val="22"/>
          <w:szCs w:val="22"/>
        </w:rPr>
        <w:t xml:space="preserve">Microsoft and many health systems license Infermedica rather than build a diagnostic engine — faster, safer, regulator-friendly.</w:t>
      </w:r>
    </w:p>
    <w:p>
      <w:pPr>
        <w:pStyle w:val="ListParagraph"/>
        <w:numPr>
          <w:ilvl w:val="0"/>
          <w:numId w:val="2"/>
        </w:numPr>
        <w:spacing w:after="70" w:line="268"/>
      </w:pPr>
      <w:r>
        <w:rPr>
          <w:b/>
          <w:bCs/>
          <w:i w:val="false"/>
          <w:iCs w:val="false"/>
          <w:color w:val="222222"/>
          <w:sz w:val="22"/>
          <w:szCs w:val="22"/>
        </w:rPr>
        <w:t xml:space="preserve">Free triage → paid care is the business model. </w:t>
      </w:r>
      <w:r>
        <w:rPr>
          <w:b w:val="false"/>
          <w:bCs w:val="false"/>
          <w:i w:val="false"/>
          <w:iCs w:val="false"/>
          <w:color w:val="222222"/>
          <w:sz w:val="22"/>
          <w:szCs w:val="22"/>
        </w:rPr>
        <w:t xml:space="preserve">Ubie’s funnel (free checker → paid consult/Q&amp;A) is exactly the model Paymax can run, but with a deeper care loop.</w:t>
      </w:r>
    </w:p>
    <w:p>
      <w:pPr>
        <w:pStyle w:val="ListParagraph"/>
        <w:numPr>
          <w:ilvl w:val="0"/>
          <w:numId w:val="2"/>
        </w:numPr>
        <w:spacing w:after="70" w:line="268"/>
      </w:pPr>
      <w:r>
        <w:rPr>
          <w:b/>
          <w:bCs/>
          <w:i w:val="false"/>
          <w:iCs w:val="false"/>
          <w:color w:val="222222"/>
          <w:sz w:val="22"/>
          <w:szCs w:val="22"/>
        </w:rPr>
        <w:t xml:space="preserve">Everyone stops at advice. </w:t>
      </w:r>
      <w:r>
        <w:rPr>
          <w:b w:val="false"/>
          <w:bCs w:val="false"/>
          <w:i w:val="false"/>
          <w:iCs w:val="false"/>
          <w:color w:val="222222"/>
          <w:sz w:val="22"/>
          <w:szCs w:val="22"/>
        </w:rPr>
        <w:t xml:space="preserve">No global player closes the loop to affordable local care + payment + fulfilment + records. That is the open lane.</w:t>
      </w:r>
    </w:p>
    <w:p>
      <w:r>
        <w:br w:type="page"/>
      </w:r>
    </w:p>
    <w:p>
      <w:pPr>
        <w:pStyle w:val="Heading1"/>
      </w:pPr>
      <w:r>
        <w:t xml:space="preserve">2.  The Africa gap — where every global player is weak</w:t>
      </w:r>
    </w:p>
    <w:p>
      <w:pPr>
        <w:pBdr>
          <w:bottom w:val="single" w:color="0E7C7B" w:sz="8" w:space="1"/>
        </w:pBdr>
        <w:spacing w:after="110" w:before="30"/>
      </w:pPr>
      <w:r>
        <w:t xml:space="preserve"/>
      </w:r>
    </w:p>
    <w:p>
      <w:pPr>
        <w:spacing w:after="120" w:line="272"/>
        <w:jc w:val="left"/>
      </w:pPr>
      <w:r>
        <w:rPr>
          <w:color w:val="222222"/>
          <w:sz w:val="22"/>
          <w:szCs w:val="22"/>
        </w:rPr>
        <w:t xml:space="preserve">Africa-relevant efforts prove the demand and the channels, but none combine them with a super-app care loop:</w:t>
      </w:r>
    </w:p>
    <w:p>
      <w:pPr>
        <w:pStyle w:val="ListParagraph"/>
        <w:numPr>
          <w:ilvl w:val="0"/>
          <w:numId w:val="2"/>
        </w:numPr>
        <w:spacing w:after="70" w:line="268"/>
      </w:pPr>
      <w:r>
        <w:rPr>
          <w:b/>
          <w:bCs/>
          <w:i w:val="false"/>
          <w:iCs w:val="false"/>
          <w:color w:val="222222"/>
          <w:sz w:val="22"/>
          <w:szCs w:val="22"/>
        </w:rPr>
        <w:t xml:space="preserve">Wellvis (Nigeria): </w:t>
      </w:r>
      <w:r>
        <w:rPr>
          <w:b w:val="false"/>
          <w:bCs w:val="false"/>
          <w:i w:val="false"/>
          <w:iCs w:val="false"/>
          <w:color w:val="222222"/>
          <w:sz w:val="22"/>
          <w:szCs w:val="22"/>
        </w:rPr>
        <w:t xml:space="preserve">COVID triage in English, French, Hausa, Yoruba, Igbo, via web </w:t>
      </w:r>
      <w:r>
        <w:rPr>
          <w:b/>
          <w:bCs/>
          <w:i w:val="false"/>
          <w:iCs w:val="false"/>
          <w:color w:val="222222"/>
          <w:sz w:val="22"/>
          <w:szCs w:val="22"/>
        </w:rPr>
        <w:t xml:space="preserve">and USSD</w:t>
      </w:r>
      <w:r>
        <w:rPr>
          <w:b w:val="false"/>
          <w:bCs w:val="false"/>
          <w:i w:val="false"/>
          <w:iCs w:val="false"/>
          <w:color w:val="222222"/>
          <w:sz w:val="22"/>
          <w:szCs w:val="22"/>
        </w:rPr>
        <w:t xml:space="preserve"> — proof that multilingual, feature-phone triage works locally.</w:t>
      </w:r>
    </w:p>
    <w:p>
      <w:pPr>
        <w:pStyle w:val="ListParagraph"/>
        <w:numPr>
          <w:ilvl w:val="0"/>
          <w:numId w:val="2"/>
        </w:numPr>
        <w:spacing w:after="70" w:line="268"/>
      </w:pPr>
      <w:r>
        <w:rPr>
          <w:b/>
          <w:bCs/>
          <w:i w:val="false"/>
          <w:iCs w:val="false"/>
          <w:color w:val="222222"/>
          <w:sz w:val="22"/>
          <w:szCs w:val="22"/>
        </w:rPr>
        <w:t xml:space="preserve">Healthtracka / Lola (Nigeria): </w:t>
      </w:r>
      <w:r>
        <w:rPr>
          <w:b w:val="false"/>
          <w:bCs w:val="false"/>
          <w:i w:val="false"/>
          <w:iCs w:val="false"/>
          <w:color w:val="222222"/>
          <w:sz w:val="22"/>
          <w:szCs w:val="22"/>
        </w:rPr>
        <w:t xml:space="preserve">WhatsApp women’s-health AI + at-home phlebotomy (40,000+ tests) routing to a doctor — closest analogue, and a benchmark adjacent to Paymax’s Lab vertical.</w:t>
      </w:r>
    </w:p>
    <w:p>
      <w:pPr>
        <w:pStyle w:val="ListParagraph"/>
        <w:numPr>
          <w:ilvl w:val="0"/>
          <w:numId w:val="2"/>
        </w:numPr>
        <w:spacing w:after="70" w:line="268"/>
      </w:pPr>
      <w:r>
        <w:rPr>
          <w:b/>
          <w:bCs/>
          <w:i w:val="false"/>
          <w:iCs w:val="false"/>
          <w:color w:val="222222"/>
          <w:sz w:val="22"/>
          <w:szCs w:val="22"/>
        </w:rPr>
        <w:t xml:space="preserve">Rwanda (Babyl-style): </w:t>
      </w:r>
      <w:r>
        <w:rPr>
          <w:b w:val="false"/>
          <w:bCs w:val="false"/>
          <w:i w:val="false"/>
          <w:iCs w:val="false"/>
          <w:color w:val="222222"/>
          <w:sz w:val="22"/>
          <w:szCs w:val="22"/>
        </w:rPr>
        <w:t xml:space="preserve">AI triage across ~2.6M consultations via USSD/SMS/web/app — proof of omnichannel scale.</w:t>
      </w:r>
    </w:p>
    <w:p>
      <w:pPr>
        <w:spacing w:after="120" w:line="272"/>
        <w:jc w:val="left"/>
      </w:pPr>
      <w:r>
        <w:rPr>
          <w:b/>
          <w:bCs/>
          <w:i w:val="false"/>
          <w:iCs w:val="false"/>
          <w:color w:val="222222"/>
          <w:sz w:val="22"/>
          <w:szCs w:val="22"/>
        </w:rPr>
        <w:t xml:space="preserve">Across the global leaders, the same six gaps appear — each a Paymax wedge:</w:t>
      </w:r>
    </w:p>
    <w:tbl>
      <w:tblPr>
        <w:tblW w:type="dxa" w:w="9360"/>
        <w:tblBorders>
          <w:top w:val="single" w:color="D5DCE3" w:sz="1"/>
          <w:left w:val="single" w:color="D5DCE3" w:sz="1"/>
          <w:bottom w:val="single" w:color="D5DCE3" w:sz="1"/>
          <w:right w:val="single" w:color="D5DCE3" w:sz="1"/>
          <w:insideH w:val="single" w:color="D5DCE3" w:sz="1"/>
          <w:insideV w:val="single" w:color="D5DCE3" w:sz="1"/>
        </w:tblBorders>
      </w:tblPr>
      <w:tblGrid>
        <w:gridCol w:w="1700"/>
        <w:gridCol w:w="3500"/>
        <w:gridCol w:w="4160"/>
      </w:tblGrid>
      <w:tr>
        <w:trPr>
          <w:tblHeader/>
        </w:trPr>
        <w:tc>
          <w:tcPr>
            <w:tcW w:type="dxa" w:w="1700"/>
            <w:shd w:fill="0B2545" w:val="clear"/>
            <w:tcMar>
              <w:top w:type="dxa" w:w="60"/>
              <w:left w:type="dxa" w:w="90"/>
              <w:bottom w:type="dxa" w:w="60"/>
              <w:right w:type="dxa" w:w="90"/>
            </w:tcMar>
            <w:vAlign w:val="center"/>
          </w:tcPr>
          <w:p>
            <w:r>
              <w:rPr>
                <w:b/>
                <w:bCs/>
                <w:color w:val="FFFFFF"/>
                <w:sz w:val="17"/>
                <w:szCs w:val="17"/>
              </w:rPr>
              <w:t xml:space="preserve">Gap</w:t>
            </w:r>
          </w:p>
        </w:tc>
        <w:tc>
          <w:tcPr>
            <w:tcW w:type="dxa" w:w="3500"/>
            <w:shd w:fill="0B2545" w:val="clear"/>
            <w:tcMar>
              <w:top w:type="dxa" w:w="60"/>
              <w:left w:type="dxa" w:w="90"/>
              <w:bottom w:type="dxa" w:w="60"/>
              <w:right w:type="dxa" w:w="90"/>
            </w:tcMar>
            <w:vAlign w:val="center"/>
          </w:tcPr>
          <w:p>
            <w:r>
              <w:rPr>
                <w:b/>
                <w:bCs/>
                <w:color w:val="FFFFFF"/>
                <w:sz w:val="17"/>
                <w:szCs w:val="17"/>
              </w:rPr>
              <w:t xml:space="preserve">Why global players miss it</w:t>
            </w:r>
          </w:p>
        </w:tc>
        <w:tc>
          <w:tcPr>
            <w:tcW w:type="dxa" w:w="4160"/>
            <w:shd w:fill="0B2545" w:val="clear"/>
            <w:tcMar>
              <w:top w:type="dxa" w:w="60"/>
              <w:left w:type="dxa" w:w="90"/>
              <w:bottom w:type="dxa" w:w="60"/>
              <w:right w:type="dxa" w:w="90"/>
            </w:tcMar>
            <w:vAlign w:val="center"/>
          </w:tcPr>
          <w:p>
            <w:r>
              <w:rPr>
                <w:b/>
                <w:bCs/>
                <w:color w:val="FFFFFF"/>
                <w:sz w:val="17"/>
                <w:szCs w:val="17"/>
              </w:rPr>
              <w:t xml:space="preserve">Paymax wedge</w:t>
            </w:r>
          </w:p>
        </w:tc>
      </w:tr>
      <w:tr>
        <w:tc>
          <w:tcPr>
            <w:tcW w:type="dxa" w:w="17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Epidemiology</w:t>
            </w:r>
          </w:p>
        </w:tc>
        <w:tc>
          <w:tcPr>
            <w:tcW w:type="dxa" w:w="35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Tuned to Western disease patterns</w:t>
            </w:r>
          </w:p>
        </w:tc>
        <w:tc>
          <w:tcPr>
            <w:tcW w:type="dxa" w:w="41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Africa disease model: malaria, typhoid, TB, sickle cell, HIV, cholera, Lassa, maternal/neonatal, NTDs</w:t>
            </w:r>
          </w:p>
        </w:tc>
      </w:tr>
      <w:tr>
        <w:tc>
          <w:tcPr>
            <w:tcW w:type="dxa" w:w="17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Language &amp; literacy</w:t>
            </w:r>
          </w:p>
        </w:tc>
        <w:tc>
          <w:tcPr>
            <w:tcW w:type="dxa" w:w="35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English/European; text-heavy</w:t>
            </w:r>
          </w:p>
        </w:tc>
        <w:tc>
          <w:tcPr>
            <w:tcW w:type="dxa" w:w="41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Pidgin, Hausa, Yoruba, Igbo (+ Swahili); voice-first; body-map for low literacy</w:t>
            </w:r>
          </w:p>
        </w:tc>
      </w:tr>
      <w:tr>
        <w:tc>
          <w:tcPr>
            <w:tcW w:type="dxa" w:w="17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Access</w:t>
            </w:r>
          </w:p>
        </w:tc>
        <w:tc>
          <w:tcPr>
            <w:tcW w:type="dxa" w:w="35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App + smartphone + data assumed</w:t>
            </w:r>
          </w:p>
        </w:tc>
        <w:tc>
          <w:tcPr>
            <w:tcW w:type="dxa" w:w="41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App + WhatsApp + USSD/SMS + agent-assisted; low-bandwidth/offline</w:t>
            </w:r>
          </w:p>
        </w:tc>
      </w:tr>
      <w:tr>
        <w:tc>
          <w:tcPr>
            <w:tcW w:type="dxa" w:w="17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Cost</w:t>
            </w:r>
          </w:p>
        </w:tc>
        <w:tc>
          <w:tcPr>
            <w:tcW w:type="dxa" w:w="35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Subscription / insurance gatekeeping</w:t>
            </w:r>
          </w:p>
        </w:tc>
        <w:tc>
          <w:tcPr>
            <w:tcW w:type="dxa" w:w="41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Free triage; pay only for chosen care, in-wallet</w:t>
            </w:r>
          </w:p>
        </w:tc>
      </w:tr>
      <w:tr>
        <w:tc>
          <w:tcPr>
            <w:tcW w:type="dxa" w:w="17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Care connection</w:t>
            </w:r>
          </w:p>
        </w:tc>
        <w:tc>
          <w:tcPr>
            <w:tcW w:type="dxa" w:w="35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Ends in advice / foreign care nav</w:t>
            </w:r>
          </w:p>
        </w:tc>
        <w:tc>
          <w:tcPr>
            <w:tcW w:type="dxa" w:w="41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Routes to Paymax pharmacist, home lab test, telemedicine, emergency — paid + fulfilled</w:t>
            </w:r>
          </w:p>
        </w:tc>
      </w:tr>
      <w:tr>
        <w:tc>
          <w:tcPr>
            <w:tcW w:type="dxa" w:w="17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Trust &amp; data</w:t>
            </w:r>
          </w:p>
        </w:tc>
        <w:tc>
          <w:tcPr>
            <w:tcW w:type="dxa" w:w="35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Foreign brand; offshore data</w:t>
            </w:r>
          </w:p>
        </w:tc>
        <w:tc>
          <w:tcPr>
            <w:tcW w:type="dxa" w:w="41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Local clinician validation; NDPA residency; results in one vault</w:t>
            </w:r>
          </w:p>
        </w:tc>
      </w:tr>
    </w:tbl>
    <w:p>
      <w:r>
        <w:br w:type="page"/>
      </w:r>
    </w:p>
    <w:p>
      <w:pPr>
        <w:pStyle w:val="Heading1"/>
      </w:pPr>
      <w:r>
        <w:t xml:space="preserve">3.  The competitive-edge thesis</w:t>
      </w:r>
    </w:p>
    <w:p>
      <w:pPr>
        <w:pBdr>
          <w:bottom w:val="single" w:color="0E7C7B" w:sz="8" w:space="1"/>
        </w:pBdr>
        <w:spacing w:after="110" w:before="30"/>
      </w:pPr>
      <w:r>
        <w:t xml:space="preserve"/>
      </w:r>
    </w:p>
    <w:p>
      <w:pPr>
        <w:spacing w:after="120" w:line="272"/>
        <w:jc w:val="left"/>
      </w:pPr>
      <w:r>
        <w:rPr>
          <w:b/>
          <w:bCs/>
          <w:i w:val="false"/>
          <w:iCs w:val="false"/>
          <w:color w:val="222222"/>
          <w:sz w:val="22"/>
          <w:szCs w:val="22"/>
        </w:rPr>
        <w:t xml:space="preserve">Six differentiation pillars — each defensible because it rides rails Paymax already owns:</w:t>
      </w:r>
    </w:p>
    <w:p>
      <w:pPr>
        <w:pStyle w:val="ListParagraph"/>
        <w:numPr>
          <w:ilvl w:val="0"/>
          <w:numId w:val="3"/>
        </w:numPr>
        <w:spacing w:after="70" w:line="268"/>
      </w:pPr>
      <w:r>
        <w:rPr>
          <w:b/>
          <w:bCs/>
          <w:i w:val="false"/>
          <w:iCs w:val="false"/>
          <w:color w:val="222222"/>
          <w:sz w:val="22"/>
          <w:szCs w:val="22"/>
        </w:rPr>
        <w:t xml:space="preserve">Africa-tuned clinical engine </w:t>
      </w:r>
      <w:r>
        <w:rPr>
          <w:b w:val="false"/>
          <w:bCs w:val="false"/>
          <w:i w:val="false"/>
          <w:iCs w:val="false"/>
          <w:color w:val="222222"/>
          <w:sz w:val="22"/>
          <w:szCs w:val="22"/>
        </w:rPr>
        <w:t xml:space="preserve">— local disease burden, drug availability, and care pathways, with malaria/typhoid/sickle-cell as first-class.</w:t>
      </w:r>
    </w:p>
    <w:p>
      <w:pPr>
        <w:pStyle w:val="ListParagraph"/>
        <w:numPr>
          <w:ilvl w:val="0"/>
          <w:numId w:val="3"/>
        </w:numPr>
        <w:spacing w:after="70" w:line="268"/>
      </w:pPr>
      <w:r>
        <w:rPr>
          <w:b/>
          <w:bCs/>
          <w:i w:val="false"/>
          <w:iCs w:val="false"/>
          <w:color w:val="222222"/>
          <w:sz w:val="22"/>
          <w:szCs w:val="22"/>
        </w:rPr>
        <w:t xml:space="preserve">Vernacular + voice + low-literacy </w:t>
      </w:r>
      <w:r>
        <w:rPr>
          <w:b w:val="false"/>
          <w:bCs w:val="false"/>
          <w:i w:val="false"/>
          <w:iCs w:val="false"/>
          <w:color w:val="222222"/>
          <w:sz w:val="22"/>
          <w:szCs w:val="22"/>
        </w:rPr>
        <w:t xml:space="preserve">— Pidgin/Hausa/Yoruba/Igbo, voice-first input, body-map symptom picker.</w:t>
      </w:r>
    </w:p>
    <w:p>
      <w:pPr>
        <w:pStyle w:val="ListParagraph"/>
        <w:numPr>
          <w:ilvl w:val="0"/>
          <w:numId w:val="3"/>
        </w:numPr>
        <w:spacing w:after="70" w:line="268"/>
      </w:pPr>
      <w:r>
        <w:rPr>
          <w:b/>
          <w:bCs/>
          <w:i w:val="false"/>
          <w:iCs w:val="false"/>
          <w:color w:val="222222"/>
          <w:sz w:val="22"/>
          <w:szCs w:val="22"/>
        </w:rPr>
        <w:t xml:space="preserve">Omnichannel reach </w:t>
      </w:r>
      <w:r>
        <w:rPr>
          <w:b w:val="false"/>
          <w:bCs w:val="false"/>
          <w:i w:val="false"/>
          <w:iCs w:val="false"/>
          <w:color w:val="222222"/>
          <w:sz w:val="22"/>
          <w:szCs w:val="22"/>
        </w:rPr>
        <w:t xml:space="preserve">— app, WhatsApp, USSD/SMS, agent-assisted; works on feature phones, low bandwidth, offline.</w:t>
      </w:r>
    </w:p>
    <w:p>
      <w:pPr>
        <w:pStyle w:val="ListParagraph"/>
        <w:numPr>
          <w:ilvl w:val="0"/>
          <w:numId w:val="3"/>
        </w:numPr>
        <w:spacing w:after="70" w:line="268"/>
      </w:pPr>
      <w:r>
        <w:rPr>
          <w:b/>
          <w:bCs/>
          <w:i w:val="false"/>
          <w:iCs w:val="false"/>
          <w:color w:val="222222"/>
          <w:sz w:val="22"/>
          <w:szCs w:val="22"/>
        </w:rPr>
        <w:t xml:space="preserve">Care-loop + payments (the moat) </w:t>
      </w:r>
      <w:r>
        <w:rPr>
          <w:b w:val="false"/>
          <w:bCs w:val="false"/>
          <w:i w:val="false"/>
          <w:iCs w:val="false"/>
          <w:color w:val="222222"/>
          <w:sz w:val="22"/>
          <w:szCs w:val="22"/>
        </w:rPr>
        <w:t xml:space="preserve">— triage routes to a Paymax pharmacist consult, home lab test, telemedicine, or emergency, paid in-wallet, results to the vault.</w:t>
      </w:r>
    </w:p>
    <w:p>
      <w:pPr>
        <w:pStyle w:val="ListParagraph"/>
        <w:numPr>
          <w:ilvl w:val="0"/>
          <w:numId w:val="3"/>
        </w:numPr>
        <w:spacing w:after="70" w:line="268"/>
      </w:pPr>
      <w:r>
        <w:rPr>
          <w:b/>
          <w:bCs/>
          <w:i w:val="false"/>
          <w:iCs w:val="false"/>
          <w:color w:val="222222"/>
          <w:sz w:val="22"/>
          <w:szCs w:val="22"/>
        </w:rPr>
        <w:t xml:space="preserve">Trust &amp; safety </w:t>
      </w:r>
      <w:r>
        <w:rPr>
          <w:b w:val="false"/>
          <w:bCs w:val="false"/>
          <w:i w:val="false"/>
          <w:iCs w:val="false"/>
          <w:color w:val="222222"/>
          <w:sz w:val="22"/>
          <w:szCs w:val="22"/>
        </w:rPr>
        <w:t xml:space="preserve">— clinician-validated content, deterministic red-flag escalation, transparent “not a diagnosis,” human hand-off.</w:t>
      </w:r>
    </w:p>
    <w:p>
      <w:pPr>
        <w:pStyle w:val="ListParagraph"/>
        <w:numPr>
          <w:ilvl w:val="0"/>
          <w:numId w:val="3"/>
        </w:numPr>
        <w:spacing w:after="70" w:line="268"/>
      </w:pPr>
      <w:r>
        <w:rPr>
          <w:b/>
          <w:bCs/>
          <w:i w:val="false"/>
          <w:iCs w:val="false"/>
          <w:color w:val="222222"/>
          <w:sz w:val="22"/>
          <w:szCs w:val="22"/>
        </w:rPr>
        <w:t xml:space="preserve">Cost &amp; inclusion </w:t>
      </w:r>
      <w:r>
        <w:rPr>
          <w:b w:val="false"/>
          <w:bCs w:val="false"/>
          <w:i w:val="false"/>
          <w:iCs w:val="false"/>
          <w:color w:val="222222"/>
          <w:sz w:val="22"/>
          <w:szCs w:val="22"/>
        </w:rPr>
        <w:t xml:space="preserve">— free triage as acquisition; monetise the downstream care actions (the Ubie funnel, deeper).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1F0" w:sz="1"/>
              <w:left w:val="single" w:color="0E7C7B" w:sz="18"/>
              <w:bottom w:val="single" w:color="E3F1F0" w:sz="1"/>
              <w:right w:val="single" w:color="E3F1F0" w:sz="1"/>
            </w:tcBorders>
            <w:shd w:fill="E3F1F0" w:val="clear"/>
            <w:tcMar>
              <w:top w:type="dxa" w:w="120"/>
              <w:left w:type="dxa" w:w="190"/>
              <w:bottom w:type="dxa" w:w="120"/>
              <w:right w:type="dxa" w:w="190"/>
            </w:tcMar>
          </w:tcPr>
          <w:p>
            <w:pPr>
              <w:spacing w:after="60"/>
            </w:pPr>
            <w:r>
              <w:rPr>
                <w:b/>
                <w:bCs/>
                <w:color w:val="0B2545"/>
                <w:sz w:val="21"/>
                <w:szCs w:val="21"/>
              </w:rPr>
              <w:t xml:space="preserve">Top 3 reasons a Lagos user picks Paymax over Ada/Google</w:t>
            </w:r>
          </w:p>
          <w:p>
            <w:pPr>
              <w:pStyle w:val="ListParagraph"/>
              <w:numPr>
                <w:ilvl w:val="0"/>
                <w:numId w:val="2"/>
              </w:numPr>
              <w:spacing w:after="70" w:line="268"/>
            </w:pPr>
            <w:r>
              <w:rPr>
                <w:b w:val="false"/>
                <w:bCs w:val="false"/>
                <w:i w:val="false"/>
                <w:iCs w:val="false"/>
                <w:color w:val="222222"/>
                <w:sz w:val="22"/>
                <w:szCs w:val="22"/>
              </w:rPr>
              <w:t xml:space="preserve">“It speaks my language by voice and works on WhatsApp/USSD — and it knows malaria and typhoid, not just flu.”</w:t>
            </w:r>
          </w:p>
          <w:p>
            <w:pPr>
              <w:pStyle w:val="ListParagraph"/>
              <w:numPr>
                <w:ilvl w:val="0"/>
                <w:numId w:val="2"/>
              </w:numPr>
              <w:spacing w:after="70" w:line="268"/>
            </w:pPr>
            <w:r>
              <w:rPr>
                <w:b w:val="false"/>
                <w:bCs w:val="false"/>
                <w:i w:val="false"/>
                <w:iCs w:val="false"/>
                <w:color w:val="222222"/>
                <w:sz w:val="22"/>
                <w:szCs w:val="22"/>
              </w:rPr>
              <w:t xml:space="preserve">“It doesn’t just scare me with a list — it gets me a pharmacist, a home blood test, or a doctor, paid from my wallet, delivered.”</w:t>
            </w:r>
          </w:p>
          <w:p>
            <w:pPr>
              <w:pStyle w:val="ListParagraph"/>
              <w:numPr>
                <w:ilvl w:val="0"/>
                <w:numId w:val="2"/>
              </w:numPr>
              <w:spacing w:after="70" w:line="268"/>
            </w:pPr>
            <w:r>
              <w:rPr>
                <w:b w:val="false"/>
                <w:bCs w:val="false"/>
                <w:i w:val="false"/>
                <w:iCs w:val="false"/>
                <w:color w:val="222222"/>
                <w:sz w:val="22"/>
                <w:szCs w:val="22"/>
              </w:rPr>
              <w:t xml:space="preserve">“It’s free to check; I only pay for the care I choose, and my results stay in one place.”</w:t>
            </w:r>
          </w:p>
        </w:tc>
      </w:tr>
    </w:tbl>
    <w:p>
      <w:r>
        <w:br w:type="page"/>
      </w:r>
    </w:p>
    <w:p>
      <w:pPr>
        <w:pStyle w:val="Heading1"/>
      </w:pPr>
      <w:r>
        <w:t xml:space="preserve">4.  PRD — objective, personas, scope</w:t>
      </w:r>
    </w:p>
    <w:p>
      <w:pPr>
        <w:pBdr>
          <w:bottom w:val="single" w:color="0E7C7B" w:sz="8" w:space="1"/>
        </w:pBdr>
        <w:spacing w:after="110" w:before="30"/>
      </w:pPr>
      <w:r>
        <w:t xml:space="preserve"/>
      </w:r>
    </w:p>
    <w:p>
      <w:pPr>
        <w:spacing w:after="120" w:line="272"/>
        <w:jc w:val="left"/>
      </w:pPr>
      <w:r>
        <w:rPr>
          <w:b/>
          <w:bCs/>
          <w:i w:val="false"/>
          <w:iCs w:val="false"/>
          <w:color w:val="0B2545"/>
          <w:sz w:val="22"/>
          <w:szCs w:val="22"/>
        </w:rPr>
        <w:t xml:space="preserve">Objective.  </w:t>
      </w:r>
      <w:r>
        <w:rPr>
          <w:b w:val="false"/>
          <w:bCs w:val="false"/>
          <w:i w:val="false"/>
          <w:iCs w:val="false"/>
          <w:color w:val="222222"/>
          <w:sz w:val="22"/>
          <w:szCs w:val="22"/>
        </w:rPr>
        <w:t xml:space="preserve">Give every Paymax user a free, fast, safe AI triage that works in their language on any phone, and route them to the right affordable care in the Paymax care loop — increasing health access while driving care-loop conversion. Scope: </w:t>
      </w:r>
      <w:r>
        <w:rPr>
          <w:b/>
          <w:bCs/>
          <w:i w:val="false"/>
          <w:iCs w:val="false"/>
          <w:color w:val="222222"/>
          <w:sz w:val="22"/>
          <w:szCs w:val="22"/>
        </w:rPr>
        <w:t xml:space="preserve">triage &amp; navigation, not diagnosis.</w:t>
      </w:r>
    </w:p>
    <w:p>
      <w:pPr>
        <w:pStyle w:val="Heading3"/>
      </w:pPr>
      <w:r>
        <w:t xml:space="preserve">Primary personas</w:t>
      </w:r>
    </w:p>
    <w:p>
      <w:pPr>
        <w:pStyle w:val="ListParagraph"/>
        <w:numPr>
          <w:ilvl w:val="0"/>
          <w:numId w:val="2"/>
        </w:numPr>
        <w:spacing w:after="70" w:line="268"/>
      </w:pPr>
      <w:r>
        <w:rPr>
          <w:b/>
          <w:bCs/>
          <w:i w:val="false"/>
          <w:iCs w:val="false"/>
          <w:color w:val="222222"/>
          <w:sz w:val="22"/>
          <w:szCs w:val="22"/>
        </w:rPr>
        <w:t xml:space="preserve">The worried smartphone user </w:t>
      </w:r>
      <w:r>
        <w:rPr>
          <w:b w:val="false"/>
          <w:bCs w:val="false"/>
          <w:i w:val="false"/>
          <w:iCs w:val="false"/>
          <w:color w:val="222222"/>
          <w:sz w:val="22"/>
          <w:szCs w:val="22"/>
        </w:rPr>
        <w:t xml:space="preserve">(Lagos/Abuja) — wants quick reassurance and a clear next step.</w:t>
      </w:r>
    </w:p>
    <w:p>
      <w:pPr>
        <w:pStyle w:val="ListParagraph"/>
        <w:numPr>
          <w:ilvl w:val="0"/>
          <w:numId w:val="2"/>
        </w:numPr>
        <w:spacing w:after="70" w:line="268"/>
      </w:pPr>
      <w:r>
        <w:rPr>
          <w:b/>
          <w:bCs/>
          <w:i w:val="false"/>
          <w:iCs w:val="false"/>
          <w:color w:val="222222"/>
          <w:sz w:val="22"/>
          <w:szCs w:val="22"/>
        </w:rPr>
        <w:t xml:space="preserve">The feature-phone / low-literacy user </w:t>
      </w:r>
      <w:r>
        <w:rPr>
          <w:b w:val="false"/>
          <w:bCs w:val="false"/>
          <w:i w:val="false"/>
          <w:iCs w:val="false"/>
          <w:color w:val="222222"/>
          <w:sz w:val="22"/>
          <w:szCs w:val="22"/>
        </w:rPr>
        <w:t xml:space="preserve">— needs USSD/voice/Pidgin; cannot use an English app.</w:t>
      </w:r>
    </w:p>
    <w:p>
      <w:pPr>
        <w:pStyle w:val="ListParagraph"/>
        <w:numPr>
          <w:ilvl w:val="0"/>
          <w:numId w:val="2"/>
        </w:numPr>
        <w:spacing w:after="70" w:line="268"/>
      </w:pPr>
      <w:r>
        <w:rPr>
          <w:b/>
          <w:bCs/>
          <w:i w:val="false"/>
          <w:iCs w:val="false"/>
          <w:color w:val="222222"/>
          <w:sz w:val="22"/>
          <w:szCs w:val="22"/>
        </w:rPr>
        <w:t xml:space="preserve">The caregiver </w:t>
      </w:r>
      <w:r>
        <w:rPr>
          <w:b w:val="false"/>
          <w:bCs w:val="false"/>
          <w:i w:val="false"/>
          <w:iCs w:val="false"/>
          <w:color w:val="222222"/>
          <w:sz w:val="22"/>
          <w:szCs w:val="22"/>
        </w:rPr>
        <w:t xml:space="preserve">— checking for a child or elderly parent (family profiles).</w:t>
      </w:r>
    </w:p>
    <w:p>
      <w:pPr>
        <w:pStyle w:val="ListParagraph"/>
        <w:numPr>
          <w:ilvl w:val="0"/>
          <w:numId w:val="2"/>
        </w:numPr>
        <w:spacing w:after="70" w:line="268"/>
      </w:pPr>
      <w:r>
        <w:rPr>
          <w:b/>
          <w:bCs/>
          <w:i w:val="false"/>
          <w:iCs w:val="false"/>
          <w:color w:val="222222"/>
          <w:sz w:val="22"/>
          <w:szCs w:val="22"/>
        </w:rPr>
        <w:t xml:space="preserve">The chronically ill </w:t>
      </w:r>
      <w:r>
        <w:rPr>
          <w:b w:val="false"/>
          <w:bCs w:val="false"/>
          <w:i w:val="false"/>
          <w:iCs w:val="false"/>
          <w:color w:val="222222"/>
          <w:sz w:val="22"/>
          <w:szCs w:val="22"/>
        </w:rPr>
        <w:t xml:space="preserve">(hypertension, diabetes, sickle cell) — recurring checks + follow-up.</w:t>
      </w:r>
    </w:p>
    <w:p>
      <w:pPr>
        <w:pStyle w:val="ListParagraph"/>
        <w:numPr>
          <w:ilvl w:val="0"/>
          <w:numId w:val="2"/>
        </w:numPr>
        <w:spacing w:after="70" w:line="268"/>
      </w:pPr>
      <w:r>
        <w:rPr>
          <w:b/>
          <w:bCs/>
          <w:i w:val="false"/>
          <w:iCs w:val="false"/>
          <w:color w:val="222222"/>
          <w:sz w:val="22"/>
          <w:szCs w:val="22"/>
        </w:rPr>
        <w:t xml:space="preserve">The mother / maternal user </w:t>
      </w:r>
      <w:r>
        <w:rPr>
          <w:b w:val="false"/>
          <w:bCs w:val="false"/>
          <w:i w:val="false"/>
          <w:iCs w:val="false"/>
          <w:color w:val="222222"/>
          <w:sz w:val="22"/>
          <w:szCs w:val="22"/>
        </w:rPr>
        <w:t xml:space="preserve">— pregnancy/neonatal concerns needing extra-cautious triage.</w:t>
      </w:r>
    </w:p>
    <w:p>
      <w:pPr>
        <w:pStyle w:val="Heading3"/>
      </w:pPr>
      <w:r>
        <w:t xml:space="preserve">Key user stories</w:t>
      </w:r>
    </w:p>
    <w:p>
      <w:pPr>
        <w:pStyle w:val="ListParagraph"/>
        <w:numPr>
          <w:ilvl w:val="0"/>
          <w:numId w:val="2"/>
        </w:numPr>
        <w:spacing w:after="70" w:line="268"/>
      </w:pPr>
      <w:r>
        <w:rPr>
          <w:b/>
          <w:bCs/>
          <w:i w:val="false"/>
          <w:iCs w:val="false"/>
          <w:color w:val="222222"/>
          <w:sz w:val="22"/>
          <w:szCs w:val="22"/>
        </w:rPr>
        <w:t xml:space="preserve">As a user, </w:t>
      </w:r>
      <w:r>
        <w:rPr>
          <w:b w:val="false"/>
          <w:bCs w:val="false"/>
          <w:i w:val="false"/>
          <w:iCs w:val="false"/>
          <w:color w:val="222222"/>
          <w:sz w:val="22"/>
          <w:szCs w:val="22"/>
        </w:rPr>
        <w:t xml:space="preserve">I describe my symptoms by voice in Pidgin and get a clear, plain-language urgency level and next step in under 3 minutes.</w:t>
      </w:r>
    </w:p>
    <w:p>
      <w:pPr>
        <w:pStyle w:val="ListParagraph"/>
        <w:numPr>
          <w:ilvl w:val="0"/>
          <w:numId w:val="2"/>
        </w:numPr>
        <w:spacing w:after="70" w:line="268"/>
      </w:pPr>
      <w:r>
        <w:rPr>
          <w:b/>
          <w:bCs/>
          <w:i w:val="false"/>
          <w:iCs w:val="false"/>
          <w:color w:val="222222"/>
          <w:sz w:val="22"/>
          <w:szCs w:val="22"/>
        </w:rPr>
        <w:t xml:space="preserve">As a feature-phone user, </w:t>
      </w:r>
      <w:r>
        <w:rPr>
          <w:b w:val="false"/>
          <w:bCs w:val="false"/>
          <w:i w:val="false"/>
          <w:iCs w:val="false"/>
          <w:color w:val="222222"/>
          <w:sz w:val="22"/>
          <w:szCs w:val="22"/>
        </w:rPr>
        <w:t xml:space="preserve">I dial a USSD code and get triaged without internet.</w:t>
      </w:r>
    </w:p>
    <w:p>
      <w:pPr>
        <w:pStyle w:val="ListParagraph"/>
        <w:numPr>
          <w:ilvl w:val="0"/>
          <w:numId w:val="2"/>
        </w:numPr>
        <w:spacing w:after="70" w:line="268"/>
      </w:pPr>
      <w:r>
        <w:rPr>
          <w:b/>
          <w:bCs/>
          <w:i w:val="false"/>
          <w:iCs w:val="false"/>
          <w:color w:val="222222"/>
          <w:sz w:val="22"/>
          <w:szCs w:val="22"/>
        </w:rPr>
        <w:t xml:space="preserve">As a triaged user, </w:t>
      </w:r>
      <w:r>
        <w:rPr>
          <w:b w:val="false"/>
          <w:bCs w:val="false"/>
          <w:i w:val="false"/>
          <w:iCs w:val="false"/>
          <w:color w:val="222222"/>
          <w:sz w:val="22"/>
          <w:szCs w:val="22"/>
        </w:rPr>
        <w:t xml:space="preserve">I tap once to book the recommended pharmacist consult / lab test / doctor and pay from my wallet.</w:t>
      </w:r>
    </w:p>
    <w:p>
      <w:pPr>
        <w:pStyle w:val="ListParagraph"/>
        <w:numPr>
          <w:ilvl w:val="0"/>
          <w:numId w:val="2"/>
        </w:numPr>
        <w:spacing w:after="70" w:line="268"/>
      </w:pPr>
      <w:r>
        <w:rPr>
          <w:b/>
          <w:bCs/>
          <w:i w:val="false"/>
          <w:iCs w:val="false"/>
          <w:color w:val="222222"/>
          <w:sz w:val="22"/>
          <w:szCs w:val="22"/>
        </w:rPr>
        <w:t xml:space="preserve">As a user in an emergency, </w:t>
      </w:r>
      <w:r>
        <w:rPr>
          <w:b w:val="false"/>
          <w:bCs w:val="false"/>
          <w:i w:val="false"/>
          <w:iCs w:val="false"/>
          <w:color w:val="222222"/>
          <w:sz w:val="22"/>
          <w:szCs w:val="22"/>
        </w:rPr>
        <w:t xml:space="preserve">I’m told immediately to seek emergency care, shown the nearest facility, and given first-aid steps.</w:t>
      </w:r>
    </w:p>
    <w:p>
      <w:pPr>
        <w:pStyle w:val="Heading3"/>
      </w:pPr>
      <w:r>
        <w:t xml:space="preserve">Scope — reuse vs net-new</w:t>
      </w:r>
    </w:p>
    <w:tbl>
      <w:tblPr>
        <w:tblW w:type="dxa" w:w="9360"/>
        <w:tblBorders>
          <w:top w:val="single" w:color="D5DCE3" w:sz="1"/>
          <w:left w:val="single" w:color="D5DCE3" w:sz="1"/>
          <w:bottom w:val="single" w:color="D5DCE3" w:sz="1"/>
          <w:right w:val="single" w:color="D5DCE3" w:sz="1"/>
          <w:insideH w:val="single" w:color="D5DCE3" w:sz="1"/>
          <w:insideV w:val="single" w:color="D5DCE3" w:sz="1"/>
        </w:tblBorders>
      </w:tblPr>
      <w:tblGrid>
        <w:gridCol w:w="4680"/>
        <w:gridCol w:w="4680"/>
      </w:tblGrid>
      <w:tr>
        <w:trPr>
          <w:tblHeader/>
        </w:trPr>
        <w:tc>
          <w:tcPr>
            <w:tcW w:type="dxa" w:w="4680"/>
            <w:shd w:fill="1B6CA8" w:val="clear"/>
            <w:tcMar>
              <w:top w:type="dxa" w:w="60"/>
              <w:left w:type="dxa" w:w="90"/>
              <w:bottom w:type="dxa" w:w="60"/>
              <w:right w:type="dxa" w:w="90"/>
            </w:tcMar>
            <w:vAlign w:val="center"/>
          </w:tcPr>
          <w:p>
            <w:r>
              <w:rPr>
                <w:b/>
                <w:bCs/>
                <w:color w:val="FFFFFF"/>
                <w:sz w:val="17"/>
                <w:szCs w:val="17"/>
              </w:rPr>
              <w:t xml:space="preserve">REUSE existing Paymax rails</w:t>
            </w:r>
          </w:p>
        </w:tc>
        <w:tc>
          <w:tcPr>
            <w:tcW w:type="dxa" w:w="4680"/>
            <w:shd w:fill="1B6CA8" w:val="clear"/>
            <w:tcMar>
              <w:top w:type="dxa" w:w="60"/>
              <w:left w:type="dxa" w:w="90"/>
              <w:bottom w:type="dxa" w:w="60"/>
              <w:right w:type="dxa" w:w="90"/>
            </w:tcMar>
            <w:vAlign w:val="center"/>
          </w:tcPr>
          <w:p>
            <w:r>
              <w:rPr>
                <w:b/>
                <w:bCs/>
                <w:color w:val="FFFFFF"/>
                <w:sz w:val="17"/>
                <w:szCs w:val="17"/>
              </w:rPr>
              <w:t xml:space="preserve">NET-NEW to build</w:t>
            </w:r>
          </w:p>
        </w:tc>
      </w:tr>
      <w:tr>
        <w:tc>
          <w:tcPr>
            <w:tcW w:type="dxa" w:w="4680"/>
            <w:shd w:fill="FFFFFF" w:val="clear"/>
            <w:tcMar>
              <w:top w:type="dxa" w:w="48"/>
              <w:left w:type="dxa" w:w="90"/>
              <w:bottom w:type="dxa" w:w="48"/>
              <w:right w:type="dxa" w:w="90"/>
            </w:tcMar>
            <w:vAlign w:val="center"/>
          </w:tcPr>
          <w:p>
            <w:pPr>
              <w:spacing w:after="28" w:line="244"/>
            </w:pPr>
            <w:r>
              <w:rPr>
                <w:b w:val="false"/>
                <w:bCs w:val="false"/>
                <w:i w:val="false"/>
                <w:iCs w:val="false"/>
                <w:color w:val="2A2A2A"/>
                <w:sz w:val="16"/>
                <w:szCs w:val="16"/>
              </w:rPr>
              <w:t xml:space="preserve">• Wallet &amp; payments (pay for care)</w:t>
            </w:r>
          </w:p>
          <w:p>
            <w:pPr>
              <w:spacing w:after="28" w:line="244"/>
            </w:pPr>
            <w:r>
              <w:rPr>
                <w:b w:val="false"/>
                <w:bCs w:val="false"/>
                <w:i w:val="false"/>
                <w:iCs w:val="false"/>
                <w:color w:val="2A2A2A"/>
                <w:sz w:val="16"/>
                <w:szCs w:val="16"/>
              </w:rPr>
              <w:t xml:space="preserve">• SSO / KYC + health records vault &amp; consent (shared health platform)</w:t>
            </w:r>
          </w:p>
          <w:p>
            <w:pPr>
              <w:spacing w:after="28" w:line="244"/>
            </w:pPr>
            <w:r>
              <w:rPr>
                <w:b w:val="false"/>
                <w:bCs w:val="false"/>
                <w:i w:val="false"/>
                <w:iCs w:val="false"/>
                <w:color w:val="2A2A2A"/>
                <w:sz w:val="16"/>
                <w:szCs w:val="16"/>
              </w:rPr>
              <w:t xml:space="preserve">• MapService + PostGIS (nearest clinic/ER, dispatch)</w:t>
            </w:r>
          </w:p>
          <w:p>
            <w:pPr>
              <w:spacing w:after="28" w:line="244"/>
            </w:pPr>
            <w:r>
              <w:rPr>
                <w:b w:val="false"/>
                <w:bCs w:val="false"/>
                <w:i w:val="false"/>
                <w:iCs w:val="false"/>
                <w:color w:val="2A2A2A"/>
                <w:sz w:val="16"/>
                <w:szCs w:val="16"/>
              </w:rPr>
              <w:t xml:space="preserve">• Last-mile delivery (meds, home sample)</w:t>
            </w:r>
          </w:p>
          <w:p>
            <w:pPr>
              <w:spacing w:after="28" w:line="244"/>
            </w:pPr>
            <w:r>
              <w:rPr>
                <w:b w:val="false"/>
                <w:bCs w:val="false"/>
                <w:i w:val="false"/>
                <w:iCs w:val="false"/>
                <w:color w:val="2A2A2A"/>
                <w:sz w:val="16"/>
                <w:szCs w:val="16"/>
              </w:rPr>
              <w:t xml:space="preserve">• Care loop: Pharmacy / Lab / telemedicine / e-prescription</w:t>
            </w:r>
          </w:p>
          <w:p>
            <w:pPr>
              <w:spacing w:after="28" w:line="244"/>
            </w:pPr>
            <w:r>
              <w:rPr>
                <w:b w:val="false"/>
                <w:bCs w:val="false"/>
                <w:i w:val="false"/>
                <w:iCs w:val="false"/>
                <w:color w:val="2A2A2A"/>
                <w:sz w:val="16"/>
                <w:szCs w:val="16"/>
              </w:rPr>
              <w:t xml:space="preserve">• Notifications (follow-up, reminders)</w:t>
            </w:r>
          </w:p>
          <w:p>
            <w:pPr>
              <w:spacing w:after="28" w:line="244"/>
            </w:pPr>
            <w:r>
              <w:rPr>
                <w:b w:val="false"/>
                <w:bCs w:val="false"/>
                <w:i w:val="false"/>
                <w:iCs w:val="false"/>
                <w:color w:val="2A2A2A"/>
                <w:sz w:val="16"/>
                <w:szCs w:val="16"/>
              </w:rPr>
              <w:t xml:space="preserve">• Loyalty/points + referral §7A</w:t>
            </w:r>
          </w:p>
          <w:p>
            <w:pPr>
              <w:spacing w:after="0" w:line="244"/>
            </w:pPr>
            <w:r>
              <w:rPr>
                <w:b w:val="false"/>
                <w:bCs w:val="false"/>
                <w:i w:val="false"/>
                <w:iCs w:val="false"/>
                <w:color w:val="2A2A2A"/>
                <w:sz w:val="16"/>
                <w:szCs w:val="16"/>
              </w:rPr>
              <w:t xml:space="preserve">• Agent network (assisted triage)</w:t>
            </w:r>
          </w:p>
        </w:tc>
        <w:tc>
          <w:tcPr>
            <w:tcW w:type="dxa" w:w="4680"/>
            <w:shd w:fill="FFFFFF" w:val="clear"/>
            <w:tcMar>
              <w:top w:type="dxa" w:w="48"/>
              <w:left w:type="dxa" w:w="90"/>
              <w:bottom w:type="dxa" w:w="48"/>
              <w:right w:type="dxa" w:w="90"/>
            </w:tcMar>
            <w:vAlign w:val="center"/>
          </w:tcPr>
          <w:p>
            <w:pPr>
              <w:spacing w:after="28" w:line="244"/>
            </w:pPr>
            <w:r>
              <w:rPr>
                <w:b w:val="false"/>
                <w:bCs w:val="false"/>
                <w:i w:val="false"/>
                <w:iCs w:val="false"/>
                <w:color w:val="2A2A2A"/>
                <w:sz w:val="16"/>
                <w:szCs w:val="16"/>
              </w:rPr>
              <w:t xml:space="preserve">• Licensed triage engine integration (Infermedica or equivalent)</w:t>
            </w:r>
          </w:p>
          <w:p>
            <w:pPr>
              <w:spacing w:after="28" w:line="244"/>
            </w:pPr>
            <w:r>
              <w:rPr>
                <w:b w:val="false"/>
                <w:bCs w:val="false"/>
                <w:i w:val="false"/>
                <w:iCs w:val="false"/>
                <w:color w:val="2A2A2A"/>
                <w:sz w:val="16"/>
                <w:szCs w:val="16"/>
              </w:rPr>
              <w:t xml:space="preserve">• Africa-tuning layer (local conditions, risk factors, pathways)</w:t>
            </w:r>
          </w:p>
          <w:p>
            <w:pPr>
              <w:spacing w:after="28" w:line="244"/>
            </w:pPr>
            <w:r>
              <w:rPr>
                <w:b w:val="false"/>
                <w:bCs w:val="false"/>
                <w:i w:val="false"/>
                <w:iCs w:val="false"/>
                <w:color w:val="2A2A2A"/>
                <w:sz w:val="16"/>
                <w:szCs w:val="16"/>
              </w:rPr>
              <w:t xml:space="preserve">• Vernacular NLU + ASR (Pidgin/Hausa/Yoruba/Igbo voice)</w:t>
            </w:r>
          </w:p>
          <w:p>
            <w:pPr>
              <w:spacing w:after="28" w:line="244"/>
            </w:pPr>
            <w:r>
              <w:rPr>
                <w:b w:val="false"/>
                <w:bCs w:val="false"/>
                <w:i w:val="false"/>
                <w:iCs w:val="false"/>
                <w:color w:val="2A2A2A"/>
                <w:sz w:val="16"/>
                <w:szCs w:val="16"/>
              </w:rPr>
              <w:t xml:space="preserve">• Deterministic RED-FLAG rules engine</w:t>
            </w:r>
          </w:p>
          <w:p>
            <w:pPr>
              <w:spacing w:after="28" w:line="244"/>
            </w:pPr>
            <w:r>
              <w:rPr>
                <w:b w:val="false"/>
                <w:bCs w:val="false"/>
                <w:i w:val="false"/>
                <w:iCs w:val="false"/>
                <w:color w:val="2A2A2A"/>
                <w:sz w:val="16"/>
                <w:szCs w:val="16"/>
              </w:rPr>
              <w:t xml:space="preserve">• Omnichannel adapters (WhatsApp, USSD, SMS)</w:t>
            </w:r>
          </w:p>
          <w:p>
            <w:pPr>
              <w:spacing w:after="28" w:line="244"/>
            </w:pPr>
            <w:r>
              <w:rPr>
                <w:b w:val="false"/>
                <w:bCs w:val="false"/>
                <w:i w:val="false"/>
                <w:iCs w:val="false"/>
                <w:color w:val="2A2A2A"/>
                <w:sz w:val="16"/>
                <w:szCs w:val="16"/>
              </w:rPr>
              <w:t xml:space="preserve">• Body-map / low-literacy symptom input</w:t>
            </w:r>
          </w:p>
          <w:p>
            <w:pPr>
              <w:spacing w:after="28" w:line="244"/>
            </w:pPr>
            <w:r>
              <w:rPr>
                <w:b w:val="false"/>
                <w:bCs w:val="false"/>
                <w:i w:val="false"/>
                <w:iCs w:val="false"/>
                <w:color w:val="2A2A2A"/>
                <w:sz w:val="16"/>
                <w:szCs w:val="16"/>
              </w:rPr>
              <w:t xml:space="preserve">• Triage session orchestration + disposition→care routing</w:t>
            </w:r>
          </w:p>
          <w:p>
            <w:pPr>
              <w:spacing w:after="28" w:line="244"/>
            </w:pPr>
            <w:r>
              <w:rPr>
                <w:b w:val="false"/>
                <w:bCs w:val="false"/>
                <w:i w:val="false"/>
                <w:iCs w:val="false"/>
                <w:color w:val="2A2A2A"/>
                <w:sz w:val="16"/>
                <w:szCs w:val="16"/>
              </w:rPr>
              <w:t xml:space="preserve">• Clinical content + red-flag governance console</w:t>
            </w:r>
          </w:p>
          <w:p>
            <w:pPr>
              <w:spacing w:after="0" w:line="244"/>
            </w:pPr>
            <w:r>
              <w:rPr>
                <w:b w:val="false"/>
                <w:bCs w:val="false"/>
                <w:i w:val="false"/>
                <w:iCs w:val="false"/>
                <w:color w:val="2A2A2A"/>
                <w:sz w:val="16"/>
                <w:szCs w:val="16"/>
              </w:rPr>
              <w:t xml:space="preserve">• Validation/accuracy harness (African vignettes)</w:t>
            </w:r>
          </w:p>
        </w:tc>
      </w:tr>
    </w:tbl>
    <w:p>
      <w:r>
        <w:br w:type="page"/>
      </w:r>
    </w:p>
    <w:p>
      <w:pPr>
        <w:pStyle w:val="Heading1"/>
      </w:pPr>
      <w:r>
        <w:t xml:space="preserve">5.  AI / ML architecture (recommended)</w:t>
      </w:r>
    </w:p>
    <w:p>
      <w:pPr>
        <w:pBdr>
          <w:bottom w:val="single" w:color="0E7C7B" w:sz="8" w:space="1"/>
        </w:pBdr>
        <w:spacing w:after="110" w:before="30"/>
      </w:pPr>
      <w:r>
        <w:t xml:space="preserve"/>
      </w:r>
    </w:p>
    <w:p>
      <w:pPr>
        <w:spacing w:after="120" w:line="272"/>
        <w:jc w:val="left"/>
      </w:pPr>
      <w:r>
        <w:rPr>
          <w:b w:val="false"/>
          <w:bCs w:val="false"/>
          <w:i w:val="false"/>
          <w:iCs w:val="false"/>
          <w:color w:val="222222"/>
          <w:sz w:val="22"/>
          <w:szCs w:val="22"/>
        </w:rPr>
        <w:t xml:space="preserve">Recommendation: a </w:t>
      </w:r>
      <w:r>
        <w:rPr>
          <w:b/>
          <w:bCs/>
          <w:i w:val="false"/>
          <w:iCs w:val="false"/>
          <w:color w:val="222222"/>
          <w:sz w:val="22"/>
          <w:szCs w:val="22"/>
        </w:rPr>
        <w:t xml:space="preserve">hybrid “buy-the-engine, own-the-edge”</w:t>
      </w:r>
      <w:r>
        <w:rPr>
          <w:b w:val="false"/>
          <w:bCs w:val="false"/>
          <w:i w:val="false"/>
          <w:iCs w:val="false"/>
          <w:color w:val="222222"/>
          <w:sz w:val="22"/>
          <w:szCs w:val="22"/>
        </w:rPr>
        <w:t xml:space="preserve"> architecture. Do not build a diagnostic engine from scratch — licence a validated probabilistic engine and differentiate in the Africa/vernacular/care-loop layers around it.</w:t>
      </w:r>
    </w:p>
    <w:tbl>
      <w:tblPr>
        <w:tblW w:type="dxa" w:w="9360"/>
        <w:tblBorders>
          <w:top w:val="single" w:color="D5DCE3" w:sz="1"/>
          <w:left w:val="single" w:color="D5DCE3" w:sz="1"/>
          <w:bottom w:val="single" w:color="D5DCE3" w:sz="1"/>
          <w:right w:val="single" w:color="D5DCE3" w:sz="1"/>
          <w:insideH w:val="single" w:color="D5DCE3" w:sz="1"/>
          <w:insideV w:val="single" w:color="D5DCE3" w:sz="1"/>
        </w:tblBorders>
      </w:tblPr>
      <w:tblGrid>
        <w:gridCol w:w="2300"/>
        <w:gridCol w:w="7060"/>
      </w:tblGrid>
      <w:tr>
        <w:trPr>
          <w:tblHeader/>
        </w:trPr>
        <w:tc>
          <w:tcPr>
            <w:tcW w:type="dxa" w:w="2300"/>
            <w:shd w:fill="1B6CA8" w:val="clear"/>
            <w:tcMar>
              <w:top w:type="dxa" w:w="60"/>
              <w:left w:type="dxa" w:w="90"/>
              <w:bottom w:type="dxa" w:w="60"/>
              <w:right w:type="dxa" w:w="90"/>
            </w:tcMar>
            <w:vAlign w:val="center"/>
          </w:tcPr>
          <w:p>
            <w:r>
              <w:rPr>
                <w:b/>
                <w:bCs/>
                <w:color w:val="FFFFFF"/>
                <w:sz w:val="17"/>
                <w:szCs w:val="17"/>
              </w:rPr>
              <w:t xml:space="preserve">Layer</w:t>
            </w:r>
          </w:p>
        </w:tc>
        <w:tc>
          <w:tcPr>
            <w:tcW w:type="dxa" w:w="7060"/>
            <w:shd w:fill="1B6CA8" w:val="clear"/>
            <w:tcMar>
              <w:top w:type="dxa" w:w="60"/>
              <w:left w:type="dxa" w:w="90"/>
              <w:bottom w:type="dxa" w:w="60"/>
              <w:right w:type="dxa" w:w="90"/>
            </w:tcMar>
            <w:vAlign w:val="center"/>
          </w:tcPr>
          <w:p>
            <w:r>
              <w:rPr>
                <w:b/>
                <w:bCs/>
                <w:color w:val="FFFFFF"/>
                <w:sz w:val="17"/>
                <w:szCs w:val="17"/>
              </w:rPr>
              <w:t xml:space="preserve">Choice &amp; rationale</w:t>
            </w:r>
          </w:p>
        </w:tc>
      </w:tr>
      <w:tr>
        <w:tc>
          <w:tcPr>
            <w:tcW w:type="dxa" w:w="23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Clinical reasoning engine</w:t>
            </w:r>
          </w:p>
        </w:tc>
        <w:tc>
          <w:tcPr>
            <w:tcW w:type="dxa" w:w="70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License Infermedica (probabilistic inference, /diagnosis + /triage, 5-level triage, Class IIb device, ISO/HIPAA/GDPR). Fast, safe, auditable, regulator-friendly. Evaluate Ada Enterprise as alternative.</w:t>
            </w:r>
          </w:p>
        </w:tc>
      </w:tr>
      <w:tr>
        <w:tc>
          <w:tcPr>
            <w:tcW w:type="dxa" w:w="23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RED-FLAG rules layer</w:t>
            </w:r>
          </w:p>
        </w:tc>
        <w:tc>
          <w:tcPr>
            <w:tcW w:type="dxa" w:w="70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Deterministic, clinician-authored rules that can ALWAYS override the engine toward higher urgency (emergency detection is not left to probability). Safety-first.</w:t>
            </w:r>
          </w:p>
        </w:tc>
      </w:tr>
      <w:tr>
        <w:tc>
          <w:tcPr>
            <w:tcW w:type="dxa" w:w="23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Language understanding (NLU)</w:t>
            </w:r>
          </w:p>
        </w:tc>
        <w:tc>
          <w:tcPr>
            <w:tcW w:type="dxa" w:w="70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LLM used ONLY to map free-text/voice in Pidgin/Hausa/Yoruba/Igbo into structured evidence (symptoms/risk factors) the engine consumes — never to generate medical conclusions (anti-hallucination).</w:t>
            </w:r>
          </w:p>
        </w:tc>
      </w:tr>
      <w:tr>
        <w:tc>
          <w:tcPr>
            <w:tcW w:type="dxa" w:w="23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Speech (ASR/TTS)</w:t>
            </w:r>
          </w:p>
        </w:tc>
        <w:tc>
          <w:tcPr>
            <w:tcW w:type="dxa" w:w="70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African-speech ASR (e.g. partner like Intron Health) for voice-first, low-literacy access; TTS for read-back.</w:t>
            </w:r>
          </w:p>
        </w:tc>
      </w:tr>
      <w:tr>
        <w:tc>
          <w:tcPr>
            <w:tcW w:type="dxa" w:w="23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Africa-tuning layer</w:t>
            </w:r>
          </w:p>
        </w:tc>
        <w:tc>
          <w:tcPr>
            <w:tcW w:type="dxa" w:w="70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Region/endemic risk factors (auto-set malaria-endemic from location), supplementary curated content for high-burden local conditions, localized drug &amp; care pathways.</w:t>
            </w:r>
          </w:p>
        </w:tc>
      </w:tr>
      <w:tr>
        <w:tc>
          <w:tcPr>
            <w:tcW w:type="dxa" w:w="23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Localization / content</w:t>
            </w:r>
          </w:p>
        </w:tc>
        <w:tc>
          <w:tcPr>
            <w:tcW w:type="dxa" w:w="70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Clinician-vetted translations + plain-language, low-literacy rewrites; curated condition library (RAG), not free LLM generation.</w:t>
            </w:r>
          </w:p>
        </w:tc>
      </w:tr>
      <w:tr>
        <w:tc>
          <w:tcPr>
            <w:tcW w:type="dxa" w:w="23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Offline / lightweight path</w:t>
            </w:r>
          </w:p>
        </w:tc>
        <w:tc>
          <w:tcPr>
            <w:tcW w:type="dxa" w:w="70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Compact rules-based flow for USSD/SMS where the full engine/bandwidth isn’t available; degrade safely.</w:t>
            </w:r>
          </w:p>
        </w:tc>
      </w:tr>
    </w:tbl>
    <w:p>
      <w:pPr>
        <w:pStyle w:val="Heading3"/>
      </w:pPr>
      <w:r>
        <w:t xml:space="preserve">Validation &amp; safety metrics (clinical sign-off gate)</w:t>
      </w:r>
    </w:p>
    <w:p>
      <w:pPr>
        <w:pStyle w:val="ListParagraph"/>
        <w:numPr>
          <w:ilvl w:val="0"/>
          <w:numId w:val="2"/>
        </w:numPr>
        <w:spacing w:after="70" w:line="268"/>
      </w:pPr>
      <w:r>
        <w:rPr>
          <w:b/>
          <w:bCs/>
          <w:i w:val="false"/>
          <w:iCs w:val="false"/>
          <w:color w:val="222222"/>
          <w:sz w:val="22"/>
          <w:szCs w:val="22"/>
        </w:rPr>
        <w:t xml:space="preserve">Build an African clinical-vignette set </w:t>
      </w:r>
      <w:r>
        <w:rPr>
          <w:b w:val="false"/>
          <w:bCs w:val="false"/>
          <w:i w:val="false"/>
          <w:iCs w:val="false"/>
          <w:color w:val="222222"/>
          <w:sz w:val="22"/>
          <w:szCs w:val="22"/>
        </w:rPr>
        <w:t xml:space="preserve">(local epidemiology) and run shadow-mode vs clinicians before directing real patients.</w:t>
      </w:r>
    </w:p>
    <w:p>
      <w:pPr>
        <w:pStyle w:val="ListParagraph"/>
        <w:numPr>
          <w:ilvl w:val="0"/>
          <w:numId w:val="2"/>
        </w:numPr>
        <w:spacing w:after="70" w:line="268"/>
      </w:pPr>
      <w:r>
        <w:rPr>
          <w:b/>
          <w:bCs/>
          <w:i w:val="false"/>
          <w:iCs w:val="false"/>
          <w:color w:val="222222"/>
          <w:sz w:val="22"/>
          <w:szCs w:val="22"/>
        </w:rPr>
        <w:t xml:space="preserve">Optimise EMERGENCY SENSITIVITY first </w:t>
      </w:r>
      <w:r>
        <w:rPr>
          <w:b w:val="false"/>
          <w:bCs w:val="false"/>
          <w:i w:val="false"/>
          <w:iCs w:val="false"/>
          <w:color w:val="222222"/>
          <w:sz w:val="22"/>
          <w:szCs w:val="22"/>
        </w:rPr>
        <w:t xml:space="preserve">(don’t miss red flags); then measure over-/under-triage rate, top-3 condition relevance, completion time, and language-parity (accuracy must hold across languages).</w:t>
      </w:r>
    </w:p>
    <w:p>
      <w:pPr>
        <w:pStyle w:val="ListParagraph"/>
        <w:numPr>
          <w:ilvl w:val="0"/>
          <w:numId w:val="2"/>
        </w:numPr>
        <w:spacing w:after="70" w:line="268"/>
      </w:pPr>
      <w:r>
        <w:rPr>
          <w:b/>
          <w:bCs/>
          <w:i w:val="false"/>
          <w:iCs w:val="false"/>
          <w:color w:val="222222"/>
          <w:sz w:val="22"/>
          <w:szCs w:val="22"/>
        </w:rPr>
        <w:t xml:space="preserve">Target: </w:t>
      </w:r>
      <w:r>
        <w:rPr>
          <w:b w:val="false"/>
          <w:bCs w:val="false"/>
          <w:i w:val="false"/>
          <w:iCs w:val="false"/>
          <w:color w:val="222222"/>
          <w:sz w:val="22"/>
          <w:szCs w:val="22"/>
        </w:rPr>
        <w:t xml:space="preserve">near-zero missed emergencies (high sensitivity), acceptable controlled over-triage, and no accuracy drop across vernacular vs English.</w:t>
      </w:r>
    </w:p>
    <w:p>
      <w:r>
        <w:br w:type="page"/>
      </w:r>
    </w:p>
    <w:p>
      <w:pPr>
        <w:pStyle w:val="Heading1"/>
      </w:pPr>
      <w:r>
        <w:t xml:space="preserve">6.  Care-loop integration (the moat)</w:t>
      </w:r>
    </w:p>
    <w:p>
      <w:pPr>
        <w:pBdr>
          <w:bottom w:val="single" w:color="0E7C7B" w:sz="8" w:space="1"/>
        </w:pBdr>
        <w:spacing w:after="110" w:before="30"/>
      </w:pPr>
      <w:r>
        <w:t xml:space="preserve"/>
      </w:r>
    </w:p>
    <w:p>
      <w:pPr>
        <w:spacing w:after="120" w:line="272"/>
        <w:jc w:val="left"/>
      </w:pPr>
      <w:r>
        <w:rPr>
          <w:color w:val="222222"/>
          <w:sz w:val="22"/>
          <w:szCs w:val="22"/>
        </w:rPr>
        <w:t xml:space="preserve">Triage never dead-ends in advice. The disposition maps to a paid, fulfilled action in the existing care loop:</w:t>
      </w:r>
    </w:p>
    <w:tbl>
      <w:tblPr>
        <w:tblW w:type="dxa" w:w="9360"/>
        <w:tblBorders>
          <w:top w:val="single" w:color="D5DCE3" w:sz="1"/>
          <w:left w:val="single" w:color="D5DCE3" w:sz="1"/>
          <w:bottom w:val="single" w:color="D5DCE3" w:sz="1"/>
          <w:right w:val="single" w:color="D5DCE3" w:sz="1"/>
          <w:insideH w:val="single" w:color="D5DCE3" w:sz="1"/>
          <w:insideV w:val="single" w:color="D5DCE3" w:sz="1"/>
        </w:tblBorders>
      </w:tblPr>
      <w:tblGrid>
        <w:gridCol w:w="1900"/>
        <w:gridCol w:w="4300"/>
        <w:gridCol w:w="3160"/>
      </w:tblGrid>
      <w:tr>
        <w:trPr>
          <w:tblHeader/>
        </w:trPr>
        <w:tc>
          <w:tcPr>
            <w:tcW w:type="dxa" w:w="1900"/>
            <w:shd w:fill="0B2545" w:val="clear"/>
            <w:tcMar>
              <w:top w:type="dxa" w:w="60"/>
              <w:left w:type="dxa" w:w="90"/>
              <w:bottom w:type="dxa" w:w="60"/>
              <w:right w:type="dxa" w:w="90"/>
            </w:tcMar>
            <w:vAlign w:val="center"/>
          </w:tcPr>
          <w:p>
            <w:r>
              <w:rPr>
                <w:b/>
                <w:bCs/>
                <w:color w:val="FFFFFF"/>
                <w:sz w:val="17"/>
                <w:szCs w:val="17"/>
              </w:rPr>
              <w:t xml:space="preserve">Triage disposition</w:t>
            </w:r>
          </w:p>
        </w:tc>
        <w:tc>
          <w:tcPr>
            <w:tcW w:type="dxa" w:w="4300"/>
            <w:shd w:fill="0B2545" w:val="clear"/>
            <w:tcMar>
              <w:top w:type="dxa" w:w="60"/>
              <w:left w:type="dxa" w:w="90"/>
              <w:bottom w:type="dxa" w:w="60"/>
              <w:right w:type="dxa" w:w="90"/>
            </w:tcMar>
            <w:vAlign w:val="center"/>
          </w:tcPr>
          <w:p>
            <w:r>
              <w:rPr>
                <w:b/>
                <w:bCs/>
                <w:color w:val="FFFFFF"/>
                <w:sz w:val="17"/>
                <w:szCs w:val="17"/>
              </w:rPr>
              <w:t xml:space="preserve">Routes to</w:t>
            </w:r>
          </w:p>
        </w:tc>
        <w:tc>
          <w:tcPr>
            <w:tcW w:type="dxa" w:w="3160"/>
            <w:shd w:fill="0B2545" w:val="clear"/>
            <w:tcMar>
              <w:top w:type="dxa" w:w="60"/>
              <w:left w:type="dxa" w:w="90"/>
              <w:bottom w:type="dxa" w:w="60"/>
              <w:right w:type="dxa" w:w="90"/>
            </w:tcMar>
            <w:vAlign w:val="center"/>
          </w:tcPr>
          <w:p>
            <w:r>
              <w:rPr>
                <w:b/>
                <w:bCs/>
                <w:color w:val="FFFFFF"/>
                <w:sz w:val="17"/>
                <w:szCs w:val="17"/>
              </w:rPr>
              <w:t xml:space="preserve">Paymax rails used</w:t>
            </w:r>
          </w:p>
        </w:tc>
      </w:tr>
      <w:tr>
        <w:tc>
          <w:tcPr>
            <w:tcW w:type="dxa" w:w="1900"/>
            <w:shd w:fill="FFFFFF" w:val="clear"/>
            <w:tcMar>
              <w:top w:type="dxa" w:w="48"/>
              <w:left w:type="dxa" w:w="90"/>
              <w:bottom w:type="dxa" w:w="48"/>
              <w:right w:type="dxa" w:w="90"/>
            </w:tcMar>
            <w:vAlign w:val="center"/>
          </w:tcPr>
          <w:p>
            <w:pPr>
              <w:spacing w:after="0" w:line="244"/>
            </w:pPr>
            <w:r>
              <w:rPr>
                <w:b/>
                <w:bCs/>
                <w:i w:val="false"/>
                <w:iCs w:val="false"/>
                <w:color w:val="A23B3B"/>
                <w:sz w:val="16"/>
                <w:szCs w:val="16"/>
              </w:rPr>
              <w:t xml:space="preserve">Emergency (ambulance)</w:t>
            </w:r>
          </w:p>
        </w:tc>
        <w:tc>
          <w:tcPr>
            <w:tcW w:type="dxa" w:w="43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Nearest ER on map + call ambulance + first-aid steps</w:t>
            </w:r>
          </w:p>
        </w:tc>
        <w:tc>
          <w:tcPr>
            <w:tcW w:type="dxa" w:w="31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MapService; emergency directory</w:t>
            </w:r>
          </w:p>
        </w:tc>
      </w:tr>
      <w:tr>
        <w:tc>
          <w:tcPr>
            <w:tcW w:type="dxa" w:w="1900"/>
            <w:shd w:fill="F4F7FA" w:val="clear"/>
            <w:tcMar>
              <w:top w:type="dxa" w:w="48"/>
              <w:left w:type="dxa" w:w="90"/>
              <w:bottom w:type="dxa" w:w="48"/>
              <w:right w:type="dxa" w:w="90"/>
            </w:tcMar>
            <w:vAlign w:val="center"/>
          </w:tcPr>
          <w:p>
            <w:pPr>
              <w:spacing w:after="0" w:line="244"/>
            </w:pPr>
            <w:r>
              <w:rPr>
                <w:b/>
                <w:bCs/>
                <w:i w:val="false"/>
                <w:iCs w:val="false"/>
                <w:color w:val="A23B3B"/>
                <w:sz w:val="16"/>
                <w:szCs w:val="16"/>
              </w:rPr>
              <w:t xml:space="preserve">Emergency / urgent</w:t>
            </w:r>
          </w:p>
        </w:tc>
        <w:tc>
          <w:tcPr>
            <w:tcW w:type="dxa" w:w="43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Nearest facility + optional urgent telemedicine</w:t>
            </w:r>
          </w:p>
        </w:tc>
        <w:tc>
          <w:tcPr>
            <w:tcW w:type="dxa" w:w="31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MapService; telemedicine</w:t>
            </w:r>
          </w:p>
        </w:tc>
      </w:tr>
      <w:tr>
        <w:tc>
          <w:tcPr>
            <w:tcW w:type="dxa" w:w="1900"/>
            <w:shd w:fill="FFFFFF" w:val="clear"/>
            <w:tcMar>
              <w:top w:type="dxa" w:w="48"/>
              <w:left w:type="dxa" w:w="90"/>
              <w:bottom w:type="dxa" w:w="48"/>
              <w:right w:type="dxa" w:w="90"/>
            </w:tcMar>
            <w:vAlign w:val="center"/>
          </w:tcPr>
          <w:p>
            <w:pPr>
              <w:spacing w:after="0" w:line="244"/>
            </w:pPr>
            <w:r>
              <w:rPr>
                <w:b/>
                <w:bCs/>
                <w:i w:val="false"/>
                <w:iCs w:val="false"/>
                <w:color w:val="B26B00"/>
                <w:sz w:val="16"/>
                <w:szCs w:val="16"/>
              </w:rPr>
              <w:t xml:space="preserve">Consult (24h)</w:t>
            </w:r>
          </w:p>
        </w:tc>
        <w:tc>
          <w:tcPr>
            <w:tcW w:type="dxa" w:w="43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Telemedicine or pharmacist consult; e-prescription → Pharmacy delivery</w:t>
            </w:r>
          </w:p>
        </w:tc>
        <w:tc>
          <w:tcPr>
            <w:tcW w:type="dxa" w:w="31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Wallet; telemedicine; Pharmacy; last-mile</w:t>
            </w:r>
          </w:p>
        </w:tc>
      </w:tr>
      <w:tr>
        <w:tc>
          <w:tcPr>
            <w:tcW w:type="dxa" w:w="1900"/>
            <w:shd w:fill="F4F7FA" w:val="clear"/>
            <w:tcMar>
              <w:top w:type="dxa" w:w="48"/>
              <w:left w:type="dxa" w:w="90"/>
              <w:bottom w:type="dxa" w:w="48"/>
              <w:right w:type="dxa" w:w="90"/>
            </w:tcMar>
            <w:vAlign w:val="center"/>
          </w:tcPr>
          <w:p>
            <w:pPr>
              <w:spacing w:after="0" w:line="244"/>
            </w:pPr>
            <w:r>
              <w:rPr>
                <w:b/>
                <w:bCs/>
                <w:i w:val="false"/>
                <w:iCs w:val="false"/>
                <w:color w:val="B26B00"/>
                <w:sz w:val="16"/>
                <w:szCs w:val="16"/>
              </w:rPr>
              <w:t xml:space="preserve">Consult</w:t>
            </w:r>
          </w:p>
        </w:tc>
        <w:tc>
          <w:tcPr>
            <w:tcW w:type="dxa" w:w="43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Book vet/doctor/pharmacist; optional lab test (home sample)</w:t>
            </w:r>
          </w:p>
        </w:tc>
        <w:tc>
          <w:tcPr>
            <w:tcW w:type="dxa" w:w="31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Wallet; Lab; phlebotomist dispatch; records vault</w:t>
            </w:r>
          </w:p>
        </w:tc>
      </w:tr>
      <w:tr>
        <w:tc>
          <w:tcPr>
            <w:tcW w:type="dxa" w:w="1900"/>
            <w:shd w:fill="FFFFFF" w:val="clear"/>
            <w:tcMar>
              <w:top w:type="dxa" w:w="48"/>
              <w:left w:type="dxa" w:w="90"/>
              <w:bottom w:type="dxa" w:w="48"/>
              <w:right w:type="dxa" w:w="90"/>
            </w:tcMar>
            <w:vAlign w:val="center"/>
          </w:tcPr>
          <w:p>
            <w:pPr>
              <w:spacing w:after="0" w:line="244"/>
            </w:pPr>
            <w:r>
              <w:rPr>
                <w:b/>
                <w:bCs/>
                <w:i w:val="false"/>
                <w:iCs w:val="false"/>
                <w:color w:val="1B7A43"/>
                <w:sz w:val="16"/>
                <w:szCs w:val="16"/>
              </w:rPr>
              <w:t xml:space="preserve">Self-care</w:t>
            </w:r>
          </w:p>
        </w:tc>
        <w:tc>
          <w:tcPr>
            <w:tcW w:type="dxa" w:w="43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Home-care guidance + OTC suggestions → optional Pharmacy order; follow-up check-in</w:t>
            </w:r>
          </w:p>
        </w:tc>
        <w:tc>
          <w:tcPr>
            <w:tcW w:type="dxa" w:w="31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Pharmacy (OTC); notifications; vault</w:t>
            </w:r>
          </w:p>
        </w:tc>
      </w:tr>
    </w:tbl>
    <w:p>
      <w:pPr>
        <w:spacing w:after="120" w:line="272"/>
        <w:jc w:val="left"/>
      </w:pPr>
      <w:r>
        <w:rPr>
          <w:b w:val="false"/>
          <w:bCs w:val="false"/>
          <w:i w:val="false"/>
          <w:iCs w:val="false"/>
          <w:color w:val="222222"/>
          <w:sz w:val="22"/>
          <w:szCs w:val="22"/>
        </w:rPr>
        <w:t xml:space="preserve">Every outcome writes to the </w:t>
      </w:r>
      <w:r>
        <w:rPr>
          <w:b/>
          <w:bCs/>
          <w:i w:val="false"/>
          <w:iCs w:val="false"/>
          <w:color w:val="222222"/>
          <w:sz w:val="22"/>
          <w:szCs w:val="22"/>
        </w:rPr>
        <w:t xml:space="preserve">health records vault</w:t>
      </w:r>
      <w:r>
        <w:rPr>
          <w:b w:val="false"/>
          <w:bCs w:val="false"/>
          <w:i w:val="false"/>
          <w:iCs w:val="false"/>
          <w:color w:val="222222"/>
          <w:sz w:val="22"/>
          <w:szCs w:val="22"/>
        </w:rPr>
        <w:t xml:space="preserve"> (consent-gated), and a follow-up check-in (“How are you feeling now?”) drives the next action and retention. This consult→pay→fulfil→record loop is what no global competitor offers in Africa.</w:t>
      </w:r>
    </w:p>
    <w:p>
      <w:r>
        <w:br w:type="page"/>
      </w:r>
    </w:p>
    <w:p>
      <w:pPr>
        <w:pStyle w:val="Heading1"/>
      </w:pPr>
      <w:r>
        <w:t xml:space="preserve">7.  Mobile app screens — Customer</w:t>
      </w:r>
    </w:p>
    <w:p>
      <w:pPr>
        <w:pBdr>
          <w:bottom w:val="single" w:color="0E7C7B" w:sz="8" w:space="1"/>
        </w:pBdr>
        <w:spacing w:after="110" w:before="30"/>
      </w:pPr>
      <w:r>
        <w:t xml:space="preserve"/>
      </w:r>
    </w:p>
    <w:tbl>
      <w:tblPr>
        <w:tblW w:type="dxa" w:w="9360"/>
        <w:tblBorders>
          <w:top w:val="single" w:color="D5DCE3" w:sz="1"/>
          <w:left w:val="single" w:color="D5DCE3" w:sz="1"/>
          <w:bottom w:val="single" w:color="D5DCE3" w:sz="1"/>
          <w:right w:val="single" w:color="D5DCE3" w:sz="1"/>
          <w:insideH w:val="single" w:color="D5DCE3" w:sz="1"/>
          <w:insideV w:val="single" w:color="D5DCE3" w:sz="1"/>
        </w:tblBorders>
      </w:tblPr>
      <w:tblGrid>
        <w:gridCol w:w="480"/>
        <w:gridCol w:w="2980"/>
        <w:gridCol w:w="5900"/>
      </w:tblGrid>
      <w:tr>
        <w:trPr>
          <w:tblHeader/>
        </w:trPr>
        <w:tc>
          <w:tcPr>
            <w:tcW w:type="dxa" w:w="480"/>
            <w:shd w:fill="0B2545" w:val="clear"/>
            <w:tcMar>
              <w:top w:type="dxa" w:w="60"/>
              <w:left w:type="dxa" w:w="90"/>
              <w:bottom w:type="dxa" w:w="60"/>
              <w:right w:type="dxa" w:w="90"/>
            </w:tcMar>
            <w:vAlign w:val="center"/>
          </w:tcPr>
          <w:p>
            <w:r>
              <w:rPr>
                <w:b/>
                <w:bCs/>
                <w:color w:val="FFFFFF"/>
                <w:sz w:val="17"/>
                <w:szCs w:val="17"/>
              </w:rPr>
              <w:t xml:space="preserve">#</w:t>
            </w:r>
          </w:p>
        </w:tc>
        <w:tc>
          <w:tcPr>
            <w:tcW w:type="dxa" w:w="2980"/>
            <w:shd w:fill="0B2545" w:val="clear"/>
            <w:tcMar>
              <w:top w:type="dxa" w:w="60"/>
              <w:left w:type="dxa" w:w="90"/>
              <w:bottom w:type="dxa" w:w="60"/>
              <w:right w:type="dxa" w:w="90"/>
            </w:tcMar>
            <w:vAlign w:val="center"/>
          </w:tcPr>
          <w:p>
            <w:r>
              <w:rPr>
                <w:b/>
                <w:bCs/>
                <w:color w:val="FFFFFF"/>
                <w:sz w:val="17"/>
                <w:szCs w:val="17"/>
              </w:rPr>
              <w:t xml:space="preserve">Screen</w:t>
            </w:r>
          </w:p>
        </w:tc>
        <w:tc>
          <w:tcPr>
            <w:tcW w:type="dxa" w:w="5900"/>
            <w:shd w:fill="0B2545" w:val="clear"/>
            <w:tcMar>
              <w:top w:type="dxa" w:w="60"/>
              <w:left w:type="dxa" w:w="90"/>
              <w:bottom w:type="dxa" w:w="60"/>
              <w:right w:type="dxa" w:w="90"/>
            </w:tcMar>
            <w:vAlign w:val="center"/>
          </w:tcPr>
          <w:p>
            <w:r>
              <w:rPr>
                <w:b/>
                <w:bCs/>
                <w:color w:val="FFFFFF"/>
                <w:sz w:val="17"/>
                <w:szCs w:val="17"/>
              </w:rPr>
              <w:t xml:space="preserve">Purpose</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Health hub / Check Symptoms</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Entry CTA, recent checks, family profiles, emergency shortcut</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2</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Who is this for?</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Self / child / family member (or route a pet to Vet)</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3</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Consent &amp; disclaimer</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“Not a diagnosis,” privacy &amp; NDPA consent, emergency note</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4</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Language &amp; input mode</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English/Pidgin/Hausa/Yoruba/Igbo; text or voice</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5</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Basic profile</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Age, sex, pregnancy, key risk factors (malaria-endemic auto from location)</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6</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Chief complaint</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Free text / voice / common-symptom chips</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7</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Voice input</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ASR capture in local language, with read-back</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8</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Body-map selector</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Visual, low-literacy symptom picking by body area</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9</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Adaptive interview</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Dynamic one-at-a-time questions with progress indicator</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10</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Red-flag interstitial</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Urgent escalation screen if an emergency rule fires</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11</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Triage result / urgency</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5-level disposition, colour-coded, plain language</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12</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Possible causes</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Condition list (“not a diagnosis”) with local context</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13</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Recommended next action</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Clear single next step + why</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14</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Care options &amp; prices</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Pharmacist consult / telemedicine / lab test / nearest facility, with prices</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15</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Book &amp; pay</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Checkout from wallet; hands off to care loop</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16</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Emergency screen</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Nearest ER on map, call ambulance, first-aid steps</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17</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Self-care guidance</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Home care, warning signs, when to seek help</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18</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Save / share report</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Save to vault; share to a clinician (consent-gated)</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19</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Session summary / report</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Downloadable, shareable assessment summary</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20</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Triage history</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Past checks and outcomes</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21</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Follow-up check-in</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“How are you feeling now?” after N days → next action</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22</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Reminders</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Medication / symptom / re-check reminders</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23</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Condition library</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Localized, plain-language health education</w:t>
            </w:r>
          </w:p>
        </w:tc>
      </w:tr>
      <w:tr>
        <w:tc>
          <w:tcPr>
            <w:tcW w:type="dxa" w:w="48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24</w:t>
            </w:r>
          </w:p>
        </w:tc>
        <w:tc>
          <w:tcPr>
            <w:tcW w:type="dxa" w:w="298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Family profiles</w:t>
            </w:r>
          </w:p>
        </w:tc>
        <w:tc>
          <w:tcPr>
            <w:tcW w:type="dxa" w:w="590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Manage profiles for children/dependants</w:t>
            </w:r>
          </w:p>
        </w:tc>
      </w:tr>
      <w:tr>
        <w:tc>
          <w:tcPr>
            <w:tcW w:type="dxa" w:w="48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25</w:t>
            </w:r>
          </w:p>
        </w:tc>
        <w:tc>
          <w:tcPr>
            <w:tcW w:type="dxa" w:w="298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Feedback</w:t>
            </w:r>
          </w:p>
        </w:tc>
        <w:tc>
          <w:tcPr>
            <w:tcW w:type="dxa" w:w="590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Rate the assessment; report a concern</w:t>
            </w:r>
          </w:p>
        </w:tc>
      </w:tr>
    </w:tbl>
    <w:p>
      <w:pPr>
        <w:spacing w:after="80" w:line="272"/>
        <w:jc w:val="left"/>
      </w:pPr>
      <w:r>
        <w:rPr>
          <w:b w:val="false"/>
          <w:bCs w:val="false"/>
          <w:i/>
          <w:iCs/>
          <w:color w:val="5A6472"/>
          <w:sz w:val="18"/>
          <w:szCs w:val="18"/>
        </w:rPr>
        <w:t xml:space="preserve">Customer screens: ~25.</w:t>
      </w:r>
    </w:p>
    <w:p>
      <w:r>
        <w:br w:type="page"/>
      </w:r>
    </w:p>
    <w:p>
      <w:pPr>
        <w:pStyle w:val="Heading1"/>
      </w:pPr>
      <w:r>
        <w:t xml:space="preserve">8.  Omnichannel flows (beyond the app)</w:t>
      </w:r>
    </w:p>
    <w:p>
      <w:pPr>
        <w:pBdr>
          <w:bottom w:val="single" w:color="0E7C7B" w:sz="8" w:space="1"/>
        </w:pBdr>
        <w:spacing w:after="110" w:before="30"/>
      </w:pPr>
      <w:r>
        <w:t xml:space="preserve"/>
      </w:r>
    </w:p>
    <w:p>
      <w:pPr>
        <w:spacing w:after="120" w:line="272"/>
        <w:jc w:val="left"/>
      </w:pPr>
      <w:r>
        <w:rPr>
          <w:color w:val="222222"/>
          <w:sz w:val="22"/>
          <w:szCs w:val="22"/>
        </w:rPr>
        <w:t xml:space="preserve">The same triage engine drives reduced flows on the channels most Nigerians actually use:</w:t>
      </w:r>
    </w:p>
    <w:tbl>
      <w:tblPr>
        <w:tblW w:type="dxa" w:w="9360"/>
        <w:tblBorders>
          <w:top w:val="single" w:color="D5DCE3" w:sz="1"/>
          <w:left w:val="single" w:color="D5DCE3" w:sz="1"/>
          <w:bottom w:val="single" w:color="D5DCE3" w:sz="1"/>
          <w:right w:val="single" w:color="D5DCE3" w:sz="1"/>
          <w:insideH w:val="single" w:color="D5DCE3" w:sz="1"/>
          <w:insideV w:val="single" w:color="D5DCE3" w:sz="1"/>
        </w:tblBorders>
      </w:tblPr>
      <w:tblGrid>
        <w:gridCol w:w="1700"/>
        <w:gridCol w:w="7660"/>
      </w:tblGrid>
      <w:tr>
        <w:trPr>
          <w:tblHeader/>
        </w:trPr>
        <w:tc>
          <w:tcPr>
            <w:tcW w:type="dxa" w:w="1700"/>
            <w:shd w:fill="1B6CA8" w:val="clear"/>
            <w:tcMar>
              <w:top w:type="dxa" w:w="60"/>
              <w:left w:type="dxa" w:w="90"/>
              <w:bottom w:type="dxa" w:w="60"/>
              <w:right w:type="dxa" w:w="90"/>
            </w:tcMar>
            <w:vAlign w:val="center"/>
          </w:tcPr>
          <w:p>
            <w:r>
              <w:rPr>
                <w:b/>
                <w:bCs/>
                <w:color w:val="FFFFFF"/>
                <w:sz w:val="17"/>
                <w:szCs w:val="17"/>
              </w:rPr>
              <w:t xml:space="preserve">Channel</w:t>
            </w:r>
          </w:p>
        </w:tc>
        <w:tc>
          <w:tcPr>
            <w:tcW w:type="dxa" w:w="7660"/>
            <w:shd w:fill="1B6CA8" w:val="clear"/>
            <w:tcMar>
              <w:top w:type="dxa" w:w="60"/>
              <w:left w:type="dxa" w:w="90"/>
              <w:bottom w:type="dxa" w:w="60"/>
              <w:right w:type="dxa" w:w="90"/>
            </w:tcMar>
            <w:vAlign w:val="center"/>
          </w:tcPr>
          <w:p>
            <w:r>
              <w:rPr>
                <w:b/>
                <w:bCs/>
                <w:color w:val="FFFFFF"/>
                <w:sz w:val="17"/>
                <w:szCs w:val="17"/>
              </w:rPr>
              <w:t xml:space="preserve">Flow (condensed)</w:t>
            </w:r>
          </w:p>
        </w:tc>
      </w:tr>
      <w:tr>
        <w:tc>
          <w:tcPr>
            <w:tcW w:type="dxa" w:w="17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WhatsApp</w:t>
            </w:r>
          </w:p>
        </w:tc>
        <w:tc>
          <w:tcPr>
            <w:tcW w:type="dxa" w:w="76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Greeting → language pick → consent → chat-based symptom Q&amp;A (text/voice notes) → urgency + next step → deep link to pay/book in app or continue in chat</w:t>
            </w:r>
          </w:p>
        </w:tc>
      </w:tr>
      <w:tr>
        <w:tc>
          <w:tcPr>
            <w:tcW w:type="dxa" w:w="17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USSD</w:t>
            </w:r>
          </w:p>
        </w:tc>
        <w:tc>
          <w:tcPr>
            <w:tcW w:type="dxa" w:w="76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Dial code → menu-driven symptom selection (numbered) → short-triage questions → urgency + advice + “dial X to book” / SMS follow-up (no internet, feature phones)</w:t>
            </w:r>
          </w:p>
        </w:tc>
      </w:tr>
      <w:tr>
        <w:tc>
          <w:tcPr>
            <w:tcW w:type="dxa" w:w="17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SMS</w:t>
            </w:r>
          </w:p>
        </w:tc>
        <w:tc>
          <w:tcPr>
            <w:tcW w:type="dxa" w:w="766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Keyword start → stepwise Q&amp;A by reply → urgency + nearest-care SMS + callback option</w:t>
            </w:r>
          </w:p>
        </w:tc>
      </w:tr>
      <w:tr>
        <w:tc>
          <w:tcPr>
            <w:tcW w:type="dxa" w:w="17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Agent-assisted</w:t>
            </w:r>
          </w:p>
        </w:tc>
        <w:tc>
          <w:tcPr>
            <w:tcW w:type="dxa" w:w="766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Paymax agent runs the triage on the user’s behalf (low-literacy/no-phone), books and collects cash</w:t>
            </w:r>
          </w:p>
        </w:tc>
      </w:tr>
    </w:tbl>
    <w:p>
      <w:pPr>
        <w:spacing w:after="120" w:line="272"/>
        <w:jc w:val="left"/>
      </w:pPr>
      <w:r>
        <w:rPr>
          <w:b/>
          <w:bCs/>
          <w:i w:val="false"/>
          <w:iCs w:val="false"/>
          <w:color w:val="222222"/>
          <w:sz w:val="22"/>
          <w:szCs w:val="22"/>
        </w:rPr>
        <w:t xml:space="preserve">Design rule: </w:t>
      </w:r>
      <w:r>
        <w:rPr>
          <w:b w:val="false"/>
          <w:bCs w:val="false"/>
          <w:i w:val="false"/>
          <w:iCs w:val="false"/>
          <w:color w:val="222222"/>
          <w:sz w:val="22"/>
          <w:szCs w:val="22"/>
        </w:rPr>
        <w:t xml:space="preserve">USSD/SMS use the lightweight short-triage path and the same deterministic red-flag layer; emergencies escalate identically on every channel.</w:t>
      </w:r>
    </w:p>
    <w:p>
      <w:r>
        <w:br w:type="page"/>
      </w:r>
    </w:p>
    <w:p>
      <w:pPr>
        <w:pStyle w:val="Heading1"/>
      </w:pPr>
      <w:r>
        <w:t xml:space="preserve">9.  Admin &amp; clinical management console</w:t>
      </w:r>
    </w:p>
    <w:p>
      <w:pPr>
        <w:pBdr>
          <w:bottom w:val="single" w:color="0E7C7B" w:sz="8" w:space="1"/>
        </w:pBdr>
        <w:spacing w:after="110" w:before="30"/>
      </w:pPr>
      <w:r>
        <w:t xml:space="preserve"/>
      </w:r>
    </w:p>
    <w:tbl>
      <w:tblPr>
        <w:tblW w:type="dxa" w:w="9360"/>
        <w:tblBorders>
          <w:top w:val="single" w:color="D5DCE3" w:sz="1"/>
          <w:left w:val="single" w:color="D5DCE3" w:sz="1"/>
          <w:bottom w:val="single" w:color="D5DCE3" w:sz="1"/>
          <w:right w:val="single" w:color="D5DCE3" w:sz="1"/>
          <w:insideH w:val="single" w:color="D5DCE3" w:sz="1"/>
          <w:insideV w:val="single" w:color="D5DCE3" w:sz="1"/>
        </w:tblBorders>
      </w:tblPr>
      <w:tblGrid>
        <w:gridCol w:w="2750"/>
        <w:gridCol w:w="6610"/>
      </w:tblGrid>
      <w:tr>
        <w:trPr>
          <w:tblHeader/>
        </w:trPr>
        <w:tc>
          <w:tcPr>
            <w:tcW w:type="dxa" w:w="2750"/>
            <w:shd w:fill="1B6CA8" w:val="clear"/>
            <w:tcMar>
              <w:top w:type="dxa" w:w="60"/>
              <w:left w:type="dxa" w:w="90"/>
              <w:bottom w:type="dxa" w:w="60"/>
              <w:right w:type="dxa" w:w="90"/>
            </w:tcMar>
            <w:vAlign w:val="center"/>
          </w:tcPr>
          <w:p>
            <w:r>
              <w:rPr>
                <w:b/>
                <w:bCs/>
                <w:color w:val="FFFFFF"/>
                <w:sz w:val="17"/>
                <w:szCs w:val="17"/>
              </w:rPr>
              <w:t xml:space="preserve">Module</w:t>
            </w:r>
          </w:p>
        </w:tc>
        <w:tc>
          <w:tcPr>
            <w:tcW w:type="dxa" w:w="6610"/>
            <w:shd w:fill="1B6CA8" w:val="clear"/>
            <w:tcMar>
              <w:top w:type="dxa" w:w="60"/>
              <w:left w:type="dxa" w:w="90"/>
              <w:bottom w:type="dxa" w:w="60"/>
              <w:right w:type="dxa" w:w="90"/>
            </w:tcMar>
            <w:vAlign w:val="center"/>
          </w:tcPr>
          <w:p>
            <w:r>
              <w:rPr>
                <w:b/>
                <w:bCs/>
                <w:color w:val="FFFFFF"/>
                <w:sz w:val="17"/>
                <w:szCs w:val="17"/>
              </w:rPr>
              <w:t xml:space="preserve">Function</w:t>
            </w:r>
          </w:p>
        </w:tc>
      </w:tr>
      <w:tr>
        <w:tc>
          <w:tcPr>
            <w:tcW w:type="dxa" w:w="275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Clinical content governance</w:t>
            </w:r>
          </w:p>
        </w:tc>
        <w:tc>
          <w:tcPr>
            <w:tcW w:type="dxa" w:w="66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Author/curate local conditions, risk factors, Africa-tuning content; clinician review &amp; sign-off; versioned</w:t>
            </w:r>
          </w:p>
        </w:tc>
      </w:tr>
      <w:tr>
        <w:tc>
          <w:tcPr>
            <w:tcW w:type="dxa" w:w="275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Red-flag rules management</w:t>
            </w:r>
          </w:p>
        </w:tc>
        <w:tc>
          <w:tcPr>
            <w:tcW w:type="dxa" w:w="66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Define/tune deterministic emergency-override rules; clinician-approved; versioned; test harness</w:t>
            </w:r>
          </w:p>
        </w:tc>
      </w:tr>
      <w:tr>
        <w:tc>
          <w:tcPr>
            <w:tcW w:type="dxa" w:w="275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Triage configuration</w:t>
            </w:r>
          </w:p>
        </w:tc>
        <w:tc>
          <w:tcPr>
            <w:tcW w:type="dxa" w:w="66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Disposition thresholds, conservative-bias settings, short-triage vs full, per-channel config</w:t>
            </w:r>
          </w:p>
        </w:tc>
      </w:tr>
      <w:tr>
        <w:tc>
          <w:tcPr>
            <w:tcW w:type="dxa" w:w="275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Engine &amp; model management</w:t>
            </w:r>
          </w:p>
        </w:tc>
        <w:tc>
          <w:tcPr>
            <w:tcW w:type="dxa" w:w="66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Triage-engine config, custom models, interview modes, version pinning</w:t>
            </w:r>
          </w:p>
        </w:tc>
      </w:tr>
      <w:tr>
        <w:tc>
          <w:tcPr>
            <w:tcW w:type="dxa" w:w="275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Language &amp; localization</w:t>
            </w:r>
          </w:p>
        </w:tc>
        <w:tc>
          <w:tcPr>
            <w:tcW w:type="dxa" w:w="66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Translations, Pidgin/Hausa/Yoruba/Igbo, voice (ASR/TTS) models, plain-language rewrites</w:t>
            </w:r>
          </w:p>
        </w:tc>
      </w:tr>
      <w:tr>
        <w:tc>
          <w:tcPr>
            <w:tcW w:type="dxa" w:w="275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Escalation monitoring</w:t>
            </w:r>
          </w:p>
        </w:tc>
        <w:tc>
          <w:tcPr>
            <w:tcW w:type="dxa" w:w="66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Real-time emergencies flagged, dropped/abandoned sessions, escalation accuracy</w:t>
            </w:r>
          </w:p>
        </w:tc>
      </w:tr>
      <w:tr>
        <w:tc>
          <w:tcPr>
            <w:tcW w:type="dxa" w:w="275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Clinical safety review queue</w:t>
            </w:r>
          </w:p>
        </w:tc>
        <w:tc>
          <w:tcPr>
            <w:tcW w:type="dxa" w:w="66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Audit high-risk sessions, near-misses, human-in-the-loop review</w:t>
            </w:r>
          </w:p>
        </w:tc>
      </w:tr>
      <w:tr>
        <w:tc>
          <w:tcPr>
            <w:tcW w:type="dxa" w:w="275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Care-loop routing rules</w:t>
            </w:r>
          </w:p>
        </w:tc>
        <w:tc>
          <w:tcPr>
            <w:tcW w:type="dxa" w:w="66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Map dispositions → pharmacist/lab/telemed/emergency; provider availability</w:t>
            </w:r>
          </w:p>
        </w:tc>
      </w:tr>
      <w:tr>
        <w:tc>
          <w:tcPr>
            <w:tcW w:type="dxa" w:w="275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Session QA &amp; monitoring</w:t>
            </w:r>
          </w:p>
        </w:tc>
        <w:tc>
          <w:tcPr>
            <w:tcW w:type="dxa" w:w="66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Sample &amp; score conversations; quality and tone review</w:t>
            </w:r>
          </w:p>
        </w:tc>
      </w:tr>
      <w:tr>
        <w:tc>
          <w:tcPr>
            <w:tcW w:type="dxa" w:w="275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Validation &amp; accuracy dashboard</w:t>
            </w:r>
          </w:p>
        </w:tc>
        <w:tc>
          <w:tcPr>
            <w:tcW w:type="dxa" w:w="66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Vignette results, over-/under-triage, emergency sensitivity, language-parity</w:t>
            </w:r>
          </w:p>
        </w:tc>
      </w:tr>
      <w:tr>
        <w:tc>
          <w:tcPr>
            <w:tcW w:type="dxa" w:w="275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Epidemiology analytics</w:t>
            </w:r>
          </w:p>
        </w:tc>
        <w:tc>
          <w:tcPr>
            <w:tcW w:type="dxa" w:w="66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Symptom trends, geo heatmaps, outbreak signals (public-health value &amp; gov partnerships)</w:t>
            </w:r>
          </w:p>
        </w:tc>
      </w:tr>
      <w:tr>
        <w:tc>
          <w:tcPr>
            <w:tcW w:type="dxa" w:w="275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Feedback &amp; complaints</w:t>
            </w:r>
          </w:p>
        </w:tc>
        <w:tc>
          <w:tcPr>
            <w:tcW w:type="dxa" w:w="66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Triage user feedback, complaints, harm reports</w:t>
            </w:r>
          </w:p>
        </w:tc>
      </w:tr>
      <w:tr>
        <w:tc>
          <w:tcPr>
            <w:tcW w:type="dxa" w:w="275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Consent &amp; NDPA governance</w:t>
            </w:r>
          </w:p>
        </w:tc>
        <w:tc>
          <w:tcPr>
            <w:tcW w:type="dxa" w:w="66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Consent logs, access logs, erasure requests, data-residency controls</w:t>
            </w:r>
          </w:p>
        </w:tc>
      </w:tr>
      <w:tr>
        <w:tc>
          <w:tcPr>
            <w:tcW w:type="dxa" w:w="275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Users &amp; roles (RBAC)</w:t>
            </w:r>
          </w:p>
        </w:tc>
        <w:tc>
          <w:tcPr>
            <w:tcW w:type="dxa" w:w="66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Clinical reviewer, content editor, ops, admin; least privilege</w:t>
            </w:r>
          </w:p>
        </w:tc>
      </w:tr>
      <w:tr>
        <w:tc>
          <w:tcPr>
            <w:tcW w:type="dxa" w:w="275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Disclaimer &amp; regulatory content</w:t>
            </w:r>
          </w:p>
        </w:tc>
        <w:tc>
          <w:tcPr>
            <w:tcW w:type="dxa" w:w="6610"/>
            <w:shd w:fill="FFFFFF"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Manage medical disclaimers, regulatory copy, channel-specific notices</w:t>
            </w:r>
          </w:p>
        </w:tc>
      </w:tr>
      <w:tr>
        <w:tc>
          <w:tcPr>
            <w:tcW w:type="dxa" w:w="275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Audit log</w:t>
            </w:r>
          </w:p>
        </w:tc>
        <w:tc>
          <w:tcPr>
            <w:tcW w:type="dxa" w:w="6610"/>
            <w:shd w:fill="F4F7FA" w:val="clear"/>
            <w:tcMar>
              <w:top w:type="dxa" w:w="48"/>
              <w:left w:type="dxa" w:w="90"/>
              <w:bottom w:type="dxa" w:w="48"/>
              <w:right w:type="dxa" w:w="90"/>
            </w:tcMar>
            <w:vAlign w:val="center"/>
          </w:tcPr>
          <w:p>
            <w:pPr>
              <w:spacing w:after="0" w:line="244"/>
            </w:pPr>
            <w:r>
              <w:rPr>
                <w:b w:val="false"/>
                <w:bCs w:val="false"/>
                <w:i w:val="false"/>
                <w:iCs w:val="false"/>
                <w:color w:val="2A2A2A"/>
                <w:sz w:val="16"/>
                <w:szCs w:val="16"/>
              </w:rPr>
              <w:t xml:space="preserve">Immutable log of every disposition, escalation, content/rule/config change</w:t>
            </w:r>
          </w:p>
        </w:tc>
      </w:tr>
    </w:tbl>
    <w:p>
      <w:pPr>
        <w:spacing w:after="80" w:line="272"/>
        <w:jc w:val="left"/>
      </w:pPr>
      <w:r>
        <w:rPr>
          <w:b w:val="false"/>
          <w:bCs w:val="false"/>
          <w:i/>
          <w:iCs/>
          <w:color w:val="5A6472"/>
          <w:sz w:val="18"/>
          <w:szCs w:val="18"/>
        </w:rPr>
        <w:t xml:space="preserve">Admin modules: ~16.</w:t>
      </w:r>
    </w:p>
    <w:p>
      <w:r>
        <w:br w:type="page"/>
      </w:r>
    </w:p>
    <w:p>
      <w:pPr>
        <w:pStyle w:val="Heading1"/>
      </w:pPr>
      <w:r>
        <w:t xml:space="preserve">10.  Data model &amp; state machines</w:t>
      </w:r>
    </w:p>
    <w:p>
      <w:pPr>
        <w:pBdr>
          <w:bottom w:val="single" w:color="0E7C7B" w:sz="8" w:space="1"/>
        </w:pBdr>
        <w:spacing w:after="110" w:before="30"/>
      </w:pPr>
      <w:r>
        <w:t xml:space="preserve"/>
      </w:r>
    </w:p>
    <w:p>
      <w:pPr>
        <w:spacing w:after="120" w:line="272"/>
        <w:jc w:val="left"/>
      </w:pPr>
      <w:r>
        <w:rPr>
          <w:b/>
          <w:bCs/>
          <w:i w:val="false"/>
          <w:iCs w:val="false"/>
          <w:color w:val="222222"/>
          <w:sz w:val="22"/>
          <w:szCs w:val="22"/>
        </w:rPr>
        <w:t xml:space="preserve">Entities:  </w:t>
      </w:r>
      <w:r>
        <w:rPr>
          <w:b w:val="false"/>
          <w:bCs w:val="false"/>
          <w:i w:val="false"/>
          <w:iCs w:val="false"/>
          <w:color w:val="333333"/>
          <w:sz w:val="19"/>
          <w:szCs w:val="19"/>
        </w:rPr>
        <w:t xml:space="preserve">Profile (self/child/dependant) · TriageSession · SymptomIntake · Evidence (symptom/risk-factor/answer) · Assessment · Condition · TriageDisposition · RedFlagEvent · CareReferral · EscalationCase · ConsentRecord · SessionReport · FeedbackRecord · ClinicalContentItem · RedFlagRule · LanguagePack · AuditEntry.</w:t>
      </w:r>
    </w:p>
    <w:p>
      <w:pPr>
        <w:pStyle w:val="Heading3"/>
      </w:pPr>
      <w:r>
        <w:t xml:space="preserve">State machines (guarded transitions; side effects atomic; audit every transition)</w:t>
      </w:r>
    </w:p>
    <w:p>
      <w:pPr>
        <w:spacing w:after="120" w:line="272"/>
        <w:jc w:val="left"/>
      </w:pPr>
      <w:r>
        <w:rPr>
          <w:b/>
          <w:bCs/>
          <w:i w:val="false"/>
          <w:iCs w:val="false"/>
          <w:color w:val="222222"/>
          <w:sz w:val="22"/>
          <w:szCs w:val="22"/>
        </w:rPr>
        <w:t xml:space="preserve">TriageSession:  </w:t>
      </w:r>
      <w:r>
        <w:rPr>
          <w:b w:val="false"/>
          <w:bCs w:val="false"/>
          <w:i w:val="false"/>
          <w:iCs w:val="false"/>
          <w:color w:val="222222"/>
          <w:sz w:val="20"/>
          <w:szCs w:val="20"/>
        </w:rPr>
        <w:t xml:space="preserve">STARTED → CONSENTED → INTERVIEWING → (RED_FLAG_DETECTED → ESCALATED) → ASSESSED → DISPOSITION_GIVEN → REFERRED → CLOSED | ABANDONED</w:t>
      </w:r>
    </w:p>
    <w:p>
      <w:pPr>
        <w:spacing w:after="120" w:line="272"/>
        <w:jc w:val="left"/>
      </w:pPr>
      <w:r>
        <w:rPr>
          <w:b/>
          <w:bCs/>
          <w:i w:val="false"/>
          <w:iCs w:val="false"/>
          <w:color w:val="222222"/>
          <w:sz w:val="22"/>
          <w:szCs w:val="22"/>
        </w:rPr>
        <w:t xml:space="preserve">CareReferral:  </w:t>
      </w:r>
      <w:r>
        <w:rPr>
          <w:b w:val="false"/>
          <w:bCs w:val="false"/>
          <w:i w:val="false"/>
          <w:iCs w:val="false"/>
          <w:color w:val="222222"/>
          <w:sz w:val="20"/>
          <w:szCs w:val="20"/>
        </w:rPr>
        <w:t xml:space="preserve">CREATED → ROUTED(pharmacy|lab|telemed|emergency) → PAID → FULFILLED → FOLLOW_UP → CLOSED</w:t>
      </w:r>
    </w:p>
    <w:p>
      <w:pPr>
        <w:spacing w:after="120" w:line="272"/>
        <w:jc w:val="left"/>
      </w:pPr>
      <w:r>
        <w:rPr>
          <w:b/>
          <w:bCs/>
          <w:i w:val="false"/>
          <w:iCs w:val="false"/>
          <w:color w:val="222222"/>
          <w:sz w:val="22"/>
          <w:szCs w:val="22"/>
        </w:rPr>
        <w:t xml:space="preserve">EscalationCase:  </w:t>
      </w:r>
      <w:r>
        <w:rPr>
          <w:b w:val="false"/>
          <w:bCs w:val="false"/>
          <w:i w:val="false"/>
          <w:iCs w:val="false"/>
          <w:color w:val="222222"/>
          <w:sz w:val="20"/>
          <w:szCs w:val="20"/>
        </w:rPr>
        <w:t xml:space="preserve">RAISED → NOTIFIED(patient + clinician) → ACKNOWLEDGED → RESOLVED</w:t>
      </w:r>
    </w:p>
    <w:p>
      <w:pPr>
        <w:spacing w:after="120" w:line="272"/>
        <w:jc w:val="left"/>
      </w:pPr>
      <w:r>
        <w:rPr>
          <w:b/>
          <w:bCs/>
          <w:i w:val="false"/>
          <w:iCs w:val="false"/>
          <w:color w:val="222222"/>
          <w:sz w:val="22"/>
          <w:szCs w:val="22"/>
        </w:rPr>
        <w:t xml:space="preserve">ClinicalContentItem / RedFlagRule:  </w:t>
      </w:r>
      <w:r>
        <w:rPr>
          <w:b w:val="false"/>
          <w:bCs w:val="false"/>
          <w:i w:val="false"/>
          <w:iCs w:val="false"/>
          <w:color w:val="222222"/>
          <w:sz w:val="20"/>
          <w:szCs w:val="20"/>
        </w:rPr>
        <w:t xml:space="preserve">DRAFT → CLINICAL_REVIEW → APPROVED → PUBLISHED → DEPRECATED  (clinician sign-off required to publish)</w:t>
      </w:r>
    </w:p>
    <w:p>
      <w:r>
        <w:br w:type="page"/>
      </w:r>
    </w:p>
    <w:p>
      <w:pPr>
        <w:pStyle w:val="Heading1"/>
      </w:pPr>
      <w:r>
        <w:t xml:space="preserve">11.  Safety &amp; compliance invariants (SC-1…SC-12)</w:t>
      </w:r>
    </w:p>
    <w:p>
      <w:pPr>
        <w:pBdr>
          <w:bottom w:val="single" w:color="0E7C7B" w:sz="8" w:space="1"/>
        </w:pBdr>
        <w:spacing w:after="110" w:before="30"/>
      </w:pPr>
      <w:r>
        <w:t xml:space="preserve"/>
      </w:r>
    </w:p>
    <w:p>
      <w:pPr>
        <w:spacing w:after="120" w:line="272"/>
        <w:jc w:val="left"/>
      </w:pPr>
      <w:r>
        <w:rPr>
          <w:b w:val="false"/>
          <w:bCs w:val="false"/>
          <w:i w:val="false"/>
          <w:iCs w:val="false"/>
          <w:color w:val="222222"/>
          <w:sz w:val="22"/>
          <w:szCs w:val="22"/>
        </w:rPr>
        <w:t xml:space="preserve">Symptom-checking is clinically high-risk. These extend the base </w:t>
      </w:r>
      <w:r>
        <w:rPr>
          <w:b/>
          <w:bCs/>
          <w:i w:val="false"/>
          <w:iCs w:val="false"/>
          <w:color w:val="222222"/>
          <w:sz w:val="22"/>
          <w:szCs w:val="22"/>
        </w:rPr>
        <w:t xml:space="preserve">HL-/NL-</w:t>
      </w:r>
      <w:r>
        <w:rPr>
          <w:b w:val="false"/>
          <w:bCs w:val="false"/>
          <w:i w:val="false"/>
          <w:iCs w:val="false"/>
          <w:color w:val="222222"/>
          <w:sz w:val="22"/>
          <w:szCs w:val="22"/>
        </w:rPr>
        <w:t xml:space="preserve"> invariants and are release blockers.</w:t>
      </w:r>
    </w:p>
    <w:p>
      <w:pPr>
        <w:pStyle w:val="ListParagraph"/>
        <w:numPr>
          <w:ilvl w:val="0"/>
          <w:numId w:val="2"/>
        </w:numPr>
        <w:spacing w:after="70" w:line="268"/>
      </w:pPr>
      <w:r>
        <w:rPr>
          <w:b/>
          <w:bCs/>
          <w:i w:val="false"/>
          <w:iCs w:val="false"/>
          <w:color w:val="0B2545"/>
          <w:sz w:val="22"/>
          <w:szCs w:val="22"/>
        </w:rPr>
        <w:t xml:space="preserve">SC-1 — </w:t>
      </w:r>
      <w:r>
        <w:rPr>
          <w:b w:val="false"/>
          <w:bCs w:val="false"/>
          <w:i w:val="false"/>
          <w:iCs w:val="false"/>
          <w:color w:val="222222"/>
          <w:sz w:val="22"/>
          <w:szCs w:val="22"/>
        </w:rPr>
        <w:t xml:space="preserve">Never present output as a diagnosis. Always “possible causes / guidance.” Scope = triage + navigation only.</w:t>
      </w:r>
    </w:p>
    <w:p>
      <w:pPr>
        <w:pStyle w:val="ListParagraph"/>
        <w:numPr>
          <w:ilvl w:val="0"/>
          <w:numId w:val="2"/>
        </w:numPr>
        <w:spacing w:after="70" w:line="268"/>
      </w:pPr>
      <w:r>
        <w:rPr>
          <w:b/>
          <w:bCs/>
          <w:i w:val="false"/>
          <w:iCs w:val="false"/>
          <w:color w:val="0B2545"/>
          <w:sz w:val="22"/>
          <w:szCs w:val="22"/>
        </w:rPr>
        <w:t xml:space="preserve">SC-2 — </w:t>
      </w:r>
      <w:r>
        <w:rPr>
          <w:b w:val="false"/>
          <w:bCs w:val="false"/>
          <w:i w:val="false"/>
          <w:iCs w:val="false"/>
          <w:color w:val="222222"/>
          <w:sz w:val="22"/>
          <w:szCs w:val="22"/>
        </w:rPr>
        <w:t xml:space="preserve">A deterministic RED-FLAG layer can ALWAYS override the model toward higher urgency. Emergency detection is rules-based, never probability-only.</w:t>
      </w:r>
    </w:p>
    <w:p>
      <w:pPr>
        <w:pStyle w:val="ListParagraph"/>
        <w:numPr>
          <w:ilvl w:val="0"/>
          <w:numId w:val="2"/>
        </w:numPr>
        <w:spacing w:after="70" w:line="268"/>
      </w:pPr>
      <w:r>
        <w:rPr>
          <w:b/>
          <w:bCs/>
          <w:i w:val="false"/>
          <w:iCs w:val="false"/>
          <w:color w:val="0B2545"/>
          <w:sz w:val="22"/>
          <w:szCs w:val="22"/>
        </w:rPr>
        <w:t xml:space="preserve">SC-3 — </w:t>
      </w:r>
      <w:r>
        <w:rPr>
          <w:b w:val="false"/>
          <w:bCs w:val="false"/>
          <w:i w:val="false"/>
          <w:iCs w:val="false"/>
          <w:color w:val="222222"/>
          <w:sz w:val="22"/>
          <w:szCs w:val="22"/>
        </w:rPr>
        <w:t xml:space="preserve">Conservative triage: on ambiguity, favour safety (over-refer). Optimise EMERGENCY SENSITIVITY first.</w:t>
      </w:r>
    </w:p>
    <w:p>
      <w:pPr>
        <w:pStyle w:val="ListParagraph"/>
        <w:numPr>
          <w:ilvl w:val="0"/>
          <w:numId w:val="2"/>
        </w:numPr>
        <w:spacing w:after="70" w:line="268"/>
      </w:pPr>
      <w:r>
        <w:rPr>
          <w:b/>
          <w:bCs/>
          <w:i w:val="false"/>
          <w:iCs w:val="false"/>
          <w:color w:val="0B2545"/>
          <w:sz w:val="22"/>
          <w:szCs w:val="22"/>
        </w:rPr>
        <w:t xml:space="preserve">SC-4 — </w:t>
      </w:r>
      <w:r>
        <w:rPr>
          <w:b w:val="false"/>
          <w:bCs w:val="false"/>
          <w:i w:val="false"/>
          <w:iCs w:val="false"/>
          <w:color w:val="222222"/>
          <w:sz w:val="22"/>
          <w:szCs w:val="22"/>
        </w:rPr>
        <w:t xml:space="preserve">No prescribing, dosing, or definitive diagnosis by the AI. Prescriptions only via licensed clinicians in the care loop (HL-1/HL-3).</w:t>
      </w:r>
    </w:p>
    <w:p>
      <w:pPr>
        <w:pStyle w:val="ListParagraph"/>
        <w:numPr>
          <w:ilvl w:val="0"/>
          <w:numId w:val="2"/>
        </w:numPr>
        <w:spacing w:after="70" w:line="268"/>
      </w:pPr>
      <w:r>
        <w:rPr>
          <w:b/>
          <w:bCs/>
          <w:i w:val="false"/>
          <w:iCs w:val="false"/>
          <w:color w:val="0B2545"/>
          <w:sz w:val="22"/>
          <w:szCs w:val="22"/>
        </w:rPr>
        <w:t xml:space="preserve">SC-5 — </w:t>
      </w:r>
      <w:r>
        <w:rPr>
          <w:b w:val="false"/>
          <w:bCs w:val="false"/>
          <w:i w:val="false"/>
          <w:iCs w:val="false"/>
          <w:color w:val="222222"/>
          <w:sz w:val="22"/>
          <w:szCs w:val="22"/>
        </w:rPr>
        <w:t xml:space="preserve">Human-in-the-loop for high-risk dispositions; clear hand-off to licensed humans; emergencies route to in-person care + ambulance + first-aid.</w:t>
      </w:r>
    </w:p>
    <w:p>
      <w:pPr>
        <w:pStyle w:val="ListParagraph"/>
        <w:numPr>
          <w:ilvl w:val="0"/>
          <w:numId w:val="2"/>
        </w:numPr>
        <w:spacing w:after="70" w:line="268"/>
      </w:pPr>
      <w:r>
        <w:rPr>
          <w:b/>
          <w:bCs/>
          <w:i w:val="false"/>
          <w:iCs w:val="false"/>
          <w:color w:val="0B2545"/>
          <w:sz w:val="22"/>
          <w:szCs w:val="22"/>
        </w:rPr>
        <w:t xml:space="preserve">SC-6 — </w:t>
      </w:r>
      <w:r>
        <w:rPr>
          <w:b w:val="false"/>
          <w:bCs w:val="false"/>
          <w:i w:val="false"/>
          <w:iCs w:val="false"/>
          <w:color w:val="222222"/>
          <w:sz w:val="22"/>
          <w:szCs w:val="22"/>
        </w:rPr>
        <w:t xml:space="preserve">Clinical content + red-flag rules require licensed-clinician review &amp; sign-off before publish; versioned &amp; auditable.</w:t>
      </w:r>
    </w:p>
    <w:p>
      <w:pPr>
        <w:pStyle w:val="ListParagraph"/>
        <w:numPr>
          <w:ilvl w:val="0"/>
          <w:numId w:val="2"/>
        </w:numPr>
        <w:spacing w:after="70" w:line="268"/>
      </w:pPr>
      <w:r>
        <w:rPr>
          <w:b/>
          <w:bCs/>
          <w:i w:val="false"/>
          <w:iCs w:val="false"/>
          <w:color w:val="0B2545"/>
          <w:sz w:val="22"/>
          <w:szCs w:val="22"/>
        </w:rPr>
        <w:t xml:space="preserve">SC-7 — </w:t>
      </w:r>
      <w:r>
        <w:rPr>
          <w:b w:val="false"/>
          <w:bCs w:val="false"/>
          <w:i w:val="false"/>
          <w:iCs w:val="false"/>
          <w:color w:val="222222"/>
          <w:sz w:val="22"/>
          <w:szCs w:val="22"/>
        </w:rPr>
        <w:t xml:space="preserve">NDPA 2023: explicit consent, sensitive-data encryption, access logging, data residency, right-to-erasure; minimise PII (engine runs de-identified where possible).</w:t>
      </w:r>
    </w:p>
    <w:p>
      <w:pPr>
        <w:pStyle w:val="ListParagraph"/>
        <w:numPr>
          <w:ilvl w:val="0"/>
          <w:numId w:val="2"/>
        </w:numPr>
        <w:spacing w:after="70" w:line="268"/>
      </w:pPr>
      <w:r>
        <w:rPr>
          <w:b/>
          <w:bCs/>
          <w:i w:val="false"/>
          <w:iCs w:val="false"/>
          <w:color w:val="0B2545"/>
          <w:sz w:val="22"/>
          <w:szCs w:val="22"/>
        </w:rPr>
        <w:t xml:space="preserve">SC-8 — </w:t>
      </w:r>
      <w:r>
        <w:rPr>
          <w:b w:val="false"/>
          <w:bCs w:val="false"/>
          <w:i w:val="false"/>
          <w:iCs w:val="false"/>
          <w:color w:val="222222"/>
          <w:sz w:val="22"/>
          <w:szCs w:val="22"/>
        </w:rPr>
        <w:t xml:space="preserve">Medical disclaimer + one-tap emergency shortcut on every screen and every channel.</w:t>
      </w:r>
    </w:p>
    <w:p>
      <w:pPr>
        <w:pStyle w:val="ListParagraph"/>
        <w:numPr>
          <w:ilvl w:val="0"/>
          <w:numId w:val="2"/>
        </w:numPr>
        <w:spacing w:after="70" w:line="268"/>
      </w:pPr>
      <w:r>
        <w:rPr>
          <w:b/>
          <w:bCs/>
          <w:i w:val="false"/>
          <w:iCs w:val="false"/>
          <w:color w:val="0B2545"/>
          <w:sz w:val="22"/>
          <w:szCs w:val="22"/>
        </w:rPr>
        <w:t xml:space="preserve">SC-9 — </w:t>
      </w:r>
      <w:r>
        <w:rPr>
          <w:b w:val="false"/>
          <w:bCs w:val="false"/>
          <w:i w:val="false"/>
          <w:iCs w:val="false"/>
          <w:color w:val="222222"/>
          <w:sz w:val="22"/>
          <w:szCs w:val="22"/>
        </w:rPr>
        <w:t xml:space="preserve">Extra caution for paediatric &amp; maternal flows; child health routes to a caregiver and appropriate care.</w:t>
      </w:r>
    </w:p>
    <w:p>
      <w:pPr>
        <w:pStyle w:val="ListParagraph"/>
        <w:numPr>
          <w:ilvl w:val="0"/>
          <w:numId w:val="2"/>
        </w:numPr>
        <w:spacing w:after="70" w:line="268"/>
      </w:pPr>
      <w:r>
        <w:rPr>
          <w:b/>
          <w:bCs/>
          <w:i w:val="false"/>
          <w:iCs w:val="false"/>
          <w:color w:val="0B2545"/>
          <w:sz w:val="22"/>
          <w:szCs w:val="22"/>
        </w:rPr>
        <w:t xml:space="preserve">SC-10 — </w:t>
      </w:r>
      <w:r>
        <w:rPr>
          <w:b w:val="false"/>
          <w:bCs w:val="false"/>
          <w:i w:val="false"/>
          <w:iCs w:val="false"/>
          <w:color w:val="222222"/>
          <w:sz w:val="22"/>
          <w:szCs w:val="22"/>
        </w:rPr>
        <w:t xml:space="preserve">No fabrication: the LLM layer only extracts structured evidence / serves curated content (RAG); clinical reasoning stays in the validated engine.</w:t>
      </w:r>
    </w:p>
    <w:p>
      <w:pPr>
        <w:pStyle w:val="ListParagraph"/>
        <w:numPr>
          <w:ilvl w:val="0"/>
          <w:numId w:val="2"/>
        </w:numPr>
        <w:spacing w:after="70" w:line="268"/>
      </w:pPr>
      <w:r>
        <w:rPr>
          <w:b/>
          <w:bCs/>
          <w:i w:val="false"/>
          <w:iCs w:val="false"/>
          <w:color w:val="0B2545"/>
          <w:sz w:val="22"/>
          <w:szCs w:val="22"/>
        </w:rPr>
        <w:t xml:space="preserve">SC-11 — </w:t>
      </w:r>
      <w:r>
        <w:rPr>
          <w:b w:val="false"/>
          <w:bCs w:val="false"/>
          <w:i w:val="false"/>
          <w:iCs w:val="false"/>
          <w:color w:val="222222"/>
          <w:sz w:val="22"/>
          <w:szCs w:val="22"/>
        </w:rPr>
        <w:t xml:space="preserve">Regulatory posture: positioned as triage/navigation guidance, not a diagnostic medical device; monitor NAFDAC/SaMD developments; maintain clinician oversight.</w:t>
      </w:r>
    </w:p>
    <w:p>
      <w:pPr>
        <w:pStyle w:val="ListParagraph"/>
        <w:numPr>
          <w:ilvl w:val="0"/>
          <w:numId w:val="2"/>
        </w:numPr>
        <w:spacing w:after="70" w:line="268"/>
      </w:pPr>
      <w:r>
        <w:rPr>
          <w:b/>
          <w:bCs/>
          <w:i w:val="false"/>
          <w:iCs w:val="false"/>
          <w:color w:val="0B2545"/>
          <w:sz w:val="22"/>
          <w:szCs w:val="22"/>
        </w:rPr>
        <w:t xml:space="preserve">SC-12 — </w:t>
      </w:r>
      <w:r>
        <w:rPr>
          <w:b w:val="false"/>
          <w:bCs w:val="false"/>
          <w:i w:val="false"/>
          <w:iCs w:val="false"/>
          <w:color w:val="222222"/>
          <w:sz w:val="22"/>
          <w:szCs w:val="22"/>
        </w:rPr>
        <w:t xml:space="preserve">Immutable audit of every session disposition, escalation, and content/rule change.</w:t>
      </w:r>
    </w:p>
    <w:p>
      <w:r>
        <w:br w:type="page"/>
      </w:r>
    </w:p>
    <w:p>
      <w:pPr>
        <w:pStyle w:val="Heading1"/>
      </w:pPr>
      <w:r>
        <w:t xml:space="preserve">12.  Differentiation, metrics, roadmap &amp; risks</w:t>
      </w:r>
    </w:p>
    <w:p>
      <w:pPr>
        <w:pBdr>
          <w:bottom w:val="single" w:color="0E7C7B" w:sz="8" w:space="1"/>
        </w:pBdr>
        <w:spacing w:after="110" w:before="30"/>
      </w:pPr>
      <w:r>
        <w:t xml:space="preserve"/>
      </w:r>
    </w:p>
    <w:p>
      <w:pPr>
        <w:pStyle w:val="Heading3"/>
      </w:pPr>
      <w:r>
        <w:t xml:space="preserve">Paymax vs the leaders</w:t>
      </w:r>
    </w:p>
    <w:tbl>
      <w:tblPr>
        <w:tblW w:type="dxa" w:w="9360"/>
        <w:tblBorders>
          <w:top w:val="single" w:color="D5DCE3" w:sz="1"/>
          <w:left w:val="single" w:color="D5DCE3" w:sz="1"/>
          <w:bottom w:val="single" w:color="D5DCE3" w:sz="1"/>
          <w:right w:val="single" w:color="D5DCE3" w:sz="1"/>
          <w:insideH w:val="single" w:color="D5DCE3" w:sz="1"/>
          <w:insideV w:val="single" w:color="D5DCE3" w:sz="1"/>
        </w:tblBorders>
      </w:tblPr>
      <w:tblGrid>
        <w:gridCol w:w="2700"/>
        <w:gridCol w:w="3160"/>
        <w:gridCol w:w="3500"/>
      </w:tblGrid>
      <w:tr>
        <w:trPr>
          <w:tblHeader/>
        </w:trPr>
        <w:tc>
          <w:tcPr>
            <w:tcW w:type="dxa" w:w="2700"/>
            <w:shd w:fill="0B2545" w:val="clear"/>
            <w:tcMar>
              <w:top w:type="dxa" w:w="60"/>
              <w:left w:type="dxa" w:w="90"/>
              <w:bottom w:type="dxa" w:w="60"/>
              <w:right w:type="dxa" w:w="90"/>
            </w:tcMar>
            <w:vAlign w:val="center"/>
          </w:tcPr>
          <w:p>
            <w:r>
              <w:rPr>
                <w:b/>
                <w:bCs/>
                <w:color w:val="FFFFFF"/>
                <w:sz w:val="17"/>
                <w:szCs w:val="17"/>
              </w:rPr>
              <w:t xml:space="preserve">Capability</w:t>
            </w:r>
          </w:p>
        </w:tc>
        <w:tc>
          <w:tcPr>
            <w:tcW w:type="dxa" w:w="3160"/>
            <w:shd w:fill="0B2545" w:val="clear"/>
            <w:tcMar>
              <w:top w:type="dxa" w:w="60"/>
              <w:left w:type="dxa" w:w="90"/>
              <w:bottom w:type="dxa" w:w="60"/>
              <w:right w:type="dxa" w:w="90"/>
            </w:tcMar>
            <w:vAlign w:val="center"/>
          </w:tcPr>
          <w:p>
            <w:r>
              <w:rPr>
                <w:b/>
                <w:bCs/>
                <w:color w:val="FFFFFF"/>
                <w:sz w:val="17"/>
                <w:szCs w:val="17"/>
              </w:rPr>
              <w:t xml:space="preserve">Ada / Infermedica / Ubie</w:t>
            </w:r>
          </w:p>
        </w:tc>
        <w:tc>
          <w:tcPr>
            <w:tcW w:type="dxa" w:w="3500"/>
            <w:shd w:fill="0B2545" w:val="clear"/>
            <w:tcMar>
              <w:top w:type="dxa" w:w="60"/>
              <w:left w:type="dxa" w:w="90"/>
              <w:bottom w:type="dxa" w:w="60"/>
              <w:right w:type="dxa" w:w="90"/>
            </w:tcMar>
            <w:vAlign w:val="center"/>
          </w:tcPr>
          <w:p>
            <w:r>
              <w:rPr>
                <w:b/>
                <w:bCs/>
                <w:color w:val="FFFFFF"/>
                <w:sz w:val="17"/>
                <w:szCs w:val="17"/>
              </w:rPr>
              <w:t xml:space="preserve">Paymax AI Symptom Checker</w:t>
            </w:r>
          </w:p>
        </w:tc>
      </w:tr>
      <w:tr>
        <w:tc>
          <w:tcPr>
            <w:tcW w:type="dxa" w:w="27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African epidemiology</w:t>
            </w:r>
          </w:p>
        </w:tc>
        <w:tc>
          <w:tcPr>
            <w:tcW w:type="dxa" w:w="3160"/>
            <w:shd w:fill="FFFFFF" w:val="clear"/>
            <w:tcMar>
              <w:top w:type="dxa" w:w="48"/>
              <w:left w:type="dxa" w:w="90"/>
              <w:bottom w:type="dxa" w:w="48"/>
              <w:right w:type="dxa" w:w="90"/>
            </w:tcMar>
            <w:vAlign w:val="center"/>
          </w:tcPr>
          <w:p>
            <w:pPr>
              <w:spacing w:after="0" w:line="244"/>
            </w:pPr>
            <w:r>
              <w:rPr>
                <w:b w:val="false"/>
                <w:bCs w:val="false"/>
                <w:i w:val="false"/>
                <w:iCs w:val="false"/>
                <w:color w:val="A23B3B"/>
                <w:sz w:val="16"/>
                <w:szCs w:val="16"/>
              </w:rPr>
              <w:t xml:space="preserve">Weak (Western default)</w:t>
            </w:r>
          </w:p>
        </w:tc>
        <w:tc>
          <w:tcPr>
            <w:tcW w:type="dxa" w:w="3500"/>
            <w:shd w:fill="FFFFFF" w:val="clear"/>
            <w:tcMar>
              <w:top w:type="dxa" w:w="48"/>
              <w:left w:type="dxa" w:w="90"/>
              <w:bottom w:type="dxa" w:w="48"/>
              <w:right w:type="dxa" w:w="90"/>
            </w:tcMar>
            <w:vAlign w:val="center"/>
          </w:tcPr>
          <w:p>
            <w:pPr>
              <w:spacing w:after="0" w:line="244"/>
            </w:pPr>
            <w:r>
              <w:rPr>
                <w:b w:val="false"/>
                <w:bCs w:val="false"/>
                <w:i w:val="false"/>
                <w:iCs w:val="false"/>
                <w:color w:val="1B7A43"/>
                <w:sz w:val="16"/>
                <w:szCs w:val="16"/>
              </w:rPr>
              <w:t xml:space="preserve">Core (malaria/typhoid/sickle-cell/maternal)</w:t>
            </w:r>
          </w:p>
        </w:tc>
      </w:tr>
      <w:tr>
        <w:tc>
          <w:tcPr>
            <w:tcW w:type="dxa" w:w="27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Vernacular voice</w:t>
            </w:r>
          </w:p>
        </w:tc>
        <w:tc>
          <w:tcPr>
            <w:tcW w:type="dxa" w:w="3160"/>
            <w:shd w:fill="F4F7FA" w:val="clear"/>
            <w:tcMar>
              <w:top w:type="dxa" w:w="48"/>
              <w:left w:type="dxa" w:w="90"/>
              <w:bottom w:type="dxa" w:w="48"/>
              <w:right w:type="dxa" w:w="90"/>
            </w:tcMar>
            <w:vAlign w:val="center"/>
          </w:tcPr>
          <w:p>
            <w:pPr>
              <w:spacing w:after="0" w:line="244"/>
            </w:pPr>
            <w:r>
              <w:rPr>
                <w:b w:val="false"/>
                <w:bCs w:val="false"/>
                <w:i w:val="false"/>
                <w:iCs w:val="false"/>
                <w:color w:val="A23B3B"/>
                <w:sz w:val="16"/>
                <w:szCs w:val="16"/>
              </w:rPr>
              <w:t xml:space="preserve">Minimal</w:t>
            </w:r>
          </w:p>
        </w:tc>
        <w:tc>
          <w:tcPr>
            <w:tcW w:type="dxa" w:w="3500"/>
            <w:shd w:fill="F4F7FA" w:val="clear"/>
            <w:tcMar>
              <w:top w:type="dxa" w:w="48"/>
              <w:left w:type="dxa" w:w="90"/>
              <w:bottom w:type="dxa" w:w="48"/>
              <w:right w:type="dxa" w:w="90"/>
            </w:tcMar>
            <w:vAlign w:val="center"/>
          </w:tcPr>
          <w:p>
            <w:pPr>
              <w:spacing w:after="0" w:line="244"/>
            </w:pPr>
            <w:r>
              <w:rPr>
                <w:b w:val="false"/>
                <w:bCs w:val="false"/>
                <w:i w:val="false"/>
                <w:iCs w:val="false"/>
                <w:color w:val="1B7A43"/>
                <w:sz w:val="16"/>
                <w:szCs w:val="16"/>
              </w:rPr>
              <w:t xml:space="preserve">Pidgin/Hausa/Yoruba/Igbo, voice-first</w:t>
            </w:r>
          </w:p>
        </w:tc>
      </w:tr>
      <w:tr>
        <w:tc>
          <w:tcPr>
            <w:tcW w:type="dxa" w:w="27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Feature-phone (USSD/SMS/WhatsApp)</w:t>
            </w:r>
          </w:p>
        </w:tc>
        <w:tc>
          <w:tcPr>
            <w:tcW w:type="dxa" w:w="3160"/>
            <w:shd w:fill="FFFFFF" w:val="clear"/>
            <w:tcMar>
              <w:top w:type="dxa" w:w="48"/>
              <w:left w:type="dxa" w:w="90"/>
              <w:bottom w:type="dxa" w:w="48"/>
              <w:right w:type="dxa" w:w="90"/>
            </w:tcMar>
            <w:vAlign w:val="center"/>
          </w:tcPr>
          <w:p>
            <w:pPr>
              <w:spacing w:after="0" w:line="244"/>
            </w:pPr>
            <w:r>
              <w:rPr>
                <w:b w:val="false"/>
                <w:bCs w:val="false"/>
                <w:i w:val="false"/>
                <w:iCs w:val="false"/>
                <w:color w:val="A23B3B"/>
                <w:sz w:val="16"/>
                <w:szCs w:val="16"/>
              </w:rPr>
              <w:t xml:space="preserve">No / app-only</w:t>
            </w:r>
          </w:p>
        </w:tc>
        <w:tc>
          <w:tcPr>
            <w:tcW w:type="dxa" w:w="3500"/>
            <w:shd w:fill="FFFFFF" w:val="clear"/>
            <w:tcMar>
              <w:top w:type="dxa" w:w="48"/>
              <w:left w:type="dxa" w:w="90"/>
              <w:bottom w:type="dxa" w:w="48"/>
              <w:right w:type="dxa" w:w="90"/>
            </w:tcMar>
            <w:vAlign w:val="center"/>
          </w:tcPr>
          <w:p>
            <w:pPr>
              <w:spacing w:after="0" w:line="244"/>
            </w:pPr>
            <w:r>
              <w:rPr>
                <w:b w:val="false"/>
                <w:bCs w:val="false"/>
                <w:i w:val="false"/>
                <w:iCs w:val="false"/>
                <w:color w:val="1B7A43"/>
                <w:sz w:val="16"/>
                <w:szCs w:val="16"/>
              </w:rPr>
              <w:t xml:space="preserve">Yes, omnichannel</w:t>
            </w:r>
          </w:p>
        </w:tc>
      </w:tr>
      <w:tr>
        <w:tc>
          <w:tcPr>
            <w:tcW w:type="dxa" w:w="27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Ends in affordable care + payment</w:t>
            </w:r>
          </w:p>
        </w:tc>
        <w:tc>
          <w:tcPr>
            <w:tcW w:type="dxa" w:w="3160"/>
            <w:shd w:fill="F4F7FA" w:val="clear"/>
            <w:tcMar>
              <w:top w:type="dxa" w:w="48"/>
              <w:left w:type="dxa" w:w="90"/>
              <w:bottom w:type="dxa" w:w="48"/>
              <w:right w:type="dxa" w:w="90"/>
            </w:tcMar>
            <w:vAlign w:val="center"/>
          </w:tcPr>
          <w:p>
            <w:pPr>
              <w:spacing w:after="0" w:line="244"/>
            </w:pPr>
            <w:r>
              <w:rPr>
                <w:b w:val="false"/>
                <w:bCs w:val="false"/>
                <w:i w:val="false"/>
                <w:iCs w:val="false"/>
                <w:color w:val="A23B3B"/>
                <w:sz w:val="16"/>
                <w:szCs w:val="16"/>
              </w:rPr>
              <w:t xml:space="preserve">No (advice/nav only)</w:t>
            </w:r>
          </w:p>
        </w:tc>
        <w:tc>
          <w:tcPr>
            <w:tcW w:type="dxa" w:w="3500"/>
            <w:shd w:fill="F4F7FA" w:val="clear"/>
            <w:tcMar>
              <w:top w:type="dxa" w:w="48"/>
              <w:left w:type="dxa" w:w="90"/>
              <w:bottom w:type="dxa" w:w="48"/>
              <w:right w:type="dxa" w:w="90"/>
            </w:tcMar>
            <w:vAlign w:val="center"/>
          </w:tcPr>
          <w:p>
            <w:pPr>
              <w:spacing w:after="0" w:line="244"/>
            </w:pPr>
            <w:r>
              <w:rPr>
                <w:b w:val="false"/>
                <w:bCs w:val="false"/>
                <w:i w:val="false"/>
                <w:iCs w:val="false"/>
                <w:color w:val="1B7A43"/>
                <w:sz w:val="16"/>
                <w:szCs w:val="16"/>
              </w:rPr>
              <w:t xml:space="preserve">Yes — care loop + wallet</w:t>
            </w:r>
          </w:p>
        </w:tc>
      </w:tr>
      <w:tr>
        <w:tc>
          <w:tcPr>
            <w:tcW w:type="dxa" w:w="2700"/>
            <w:shd w:fill="FFFFFF"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Records vault + follow-up</w:t>
            </w:r>
          </w:p>
        </w:tc>
        <w:tc>
          <w:tcPr>
            <w:tcW w:type="dxa" w:w="3160"/>
            <w:shd w:fill="FFFFFF" w:val="clear"/>
            <w:tcMar>
              <w:top w:type="dxa" w:w="48"/>
              <w:left w:type="dxa" w:w="90"/>
              <w:bottom w:type="dxa" w:w="48"/>
              <w:right w:type="dxa" w:w="90"/>
            </w:tcMar>
            <w:vAlign w:val="center"/>
          </w:tcPr>
          <w:p>
            <w:pPr>
              <w:spacing w:after="0" w:line="244"/>
            </w:pPr>
            <w:r>
              <w:rPr>
                <w:b w:val="false"/>
                <w:bCs w:val="false"/>
                <w:i w:val="false"/>
                <w:iCs w:val="false"/>
                <w:color w:val="B26B00"/>
                <w:sz w:val="16"/>
                <w:szCs w:val="16"/>
              </w:rPr>
              <w:t xml:space="preserve">Partial</w:t>
            </w:r>
          </w:p>
        </w:tc>
        <w:tc>
          <w:tcPr>
            <w:tcW w:type="dxa" w:w="3500"/>
            <w:shd w:fill="FFFFFF" w:val="clear"/>
            <w:tcMar>
              <w:top w:type="dxa" w:w="48"/>
              <w:left w:type="dxa" w:w="90"/>
              <w:bottom w:type="dxa" w:w="48"/>
              <w:right w:type="dxa" w:w="90"/>
            </w:tcMar>
            <w:vAlign w:val="center"/>
          </w:tcPr>
          <w:p>
            <w:pPr>
              <w:spacing w:after="0" w:line="244"/>
            </w:pPr>
            <w:r>
              <w:rPr>
                <w:b w:val="false"/>
                <w:bCs w:val="false"/>
                <w:i w:val="false"/>
                <w:iCs w:val="false"/>
                <w:color w:val="1B7A43"/>
                <w:sz w:val="16"/>
                <w:szCs w:val="16"/>
              </w:rPr>
              <w:t xml:space="preserve">Yes, unified</w:t>
            </w:r>
          </w:p>
        </w:tc>
      </w:tr>
      <w:tr>
        <w:tc>
          <w:tcPr>
            <w:tcW w:type="dxa" w:w="2700"/>
            <w:shd w:fill="F4F7FA" w:val="clear"/>
            <w:tcMar>
              <w:top w:type="dxa" w:w="48"/>
              <w:left w:type="dxa" w:w="90"/>
              <w:bottom w:type="dxa" w:w="48"/>
              <w:right w:type="dxa" w:w="90"/>
            </w:tcMar>
            <w:vAlign w:val="center"/>
          </w:tcPr>
          <w:p>
            <w:pPr>
              <w:spacing w:after="0" w:line="244"/>
            </w:pPr>
            <w:r>
              <w:rPr>
                <w:b/>
                <w:bCs/>
                <w:i w:val="false"/>
                <w:iCs w:val="false"/>
                <w:color w:val="2A2A2A"/>
                <w:sz w:val="16"/>
                <w:szCs w:val="16"/>
              </w:rPr>
              <w:t xml:space="preserve">Clinical safety engine</w:t>
            </w:r>
          </w:p>
        </w:tc>
        <w:tc>
          <w:tcPr>
            <w:tcW w:type="dxa" w:w="3160"/>
            <w:shd w:fill="F4F7FA" w:val="clear"/>
            <w:tcMar>
              <w:top w:type="dxa" w:w="48"/>
              <w:left w:type="dxa" w:w="90"/>
              <w:bottom w:type="dxa" w:w="48"/>
              <w:right w:type="dxa" w:w="90"/>
            </w:tcMar>
            <w:vAlign w:val="center"/>
          </w:tcPr>
          <w:p>
            <w:pPr>
              <w:spacing w:after="0" w:line="244"/>
            </w:pPr>
            <w:r>
              <w:rPr>
                <w:b w:val="false"/>
                <w:bCs w:val="false"/>
                <w:i w:val="false"/>
                <w:iCs w:val="false"/>
                <w:color w:val="1B7A43"/>
                <w:sz w:val="16"/>
                <w:szCs w:val="16"/>
              </w:rPr>
              <w:t xml:space="preserve">Strong</w:t>
            </w:r>
          </w:p>
        </w:tc>
        <w:tc>
          <w:tcPr>
            <w:tcW w:type="dxa" w:w="3500"/>
            <w:shd w:fill="F4F7FA" w:val="clear"/>
            <w:tcMar>
              <w:top w:type="dxa" w:w="48"/>
              <w:left w:type="dxa" w:w="90"/>
              <w:bottom w:type="dxa" w:w="48"/>
              <w:right w:type="dxa" w:w="90"/>
            </w:tcMar>
            <w:vAlign w:val="center"/>
          </w:tcPr>
          <w:p>
            <w:pPr>
              <w:spacing w:after="0" w:line="244"/>
            </w:pPr>
            <w:r>
              <w:rPr>
                <w:b w:val="false"/>
                <w:bCs w:val="false"/>
                <w:i w:val="false"/>
                <w:iCs w:val="false"/>
                <w:color w:val="1B7A43"/>
                <w:sz w:val="16"/>
                <w:szCs w:val="16"/>
              </w:rPr>
              <w:t xml:space="preserve">Licensed engine + red-flag layer</w:t>
            </w:r>
          </w:p>
        </w:tc>
      </w:tr>
    </w:tbl>
    <w:p>
      <w:pPr>
        <w:pStyle w:val="Heading3"/>
      </w:pPr>
      <w:r>
        <w:t xml:space="preserve">Success metrics</w:t>
      </w:r>
    </w:p>
    <w:p>
      <w:pPr>
        <w:spacing w:after="120" w:line="272"/>
        <w:jc w:val="left"/>
      </w:pPr>
      <w:r>
        <w:rPr>
          <w:b w:val="false"/>
          <w:bCs w:val="false"/>
          <w:i w:val="false"/>
          <w:iCs w:val="false"/>
          <w:color w:val="222222"/>
          <w:sz w:val="22"/>
          <w:szCs w:val="22"/>
        </w:rPr>
        <w:t xml:space="preserve">Emergency sensitivity (missed-emergency rate → ~0)</w:t>
      </w:r>
      <w:r>
        <w:rPr>
          <w:b w:val="false"/>
          <w:bCs w:val="false"/>
          <w:i w:val="false"/>
          <w:iCs w:val="false"/>
          <w:color w:val="222222"/>
          <w:sz w:val="22"/>
          <w:szCs w:val="22"/>
        </w:rPr>
        <w:t xml:space="preserve"> · over-/under-triage rate · completion rate · time-to-disposition · </w:t>
      </w:r>
      <w:r>
        <w:rPr>
          <w:b/>
          <w:bCs/>
          <w:i w:val="false"/>
          <w:iCs w:val="false"/>
          <w:color w:val="222222"/>
          <w:sz w:val="22"/>
          <w:szCs w:val="22"/>
        </w:rPr>
        <w:t xml:space="preserve">care-loop conversion (triage→paid care)</w:t>
      </w:r>
      <w:r>
        <w:rPr>
          <w:b w:val="false"/>
          <w:bCs w:val="false"/>
          <w:i w:val="false"/>
          <w:iCs w:val="false"/>
          <w:color w:val="222222"/>
          <w:sz w:val="22"/>
          <w:szCs w:val="22"/>
        </w:rPr>
        <w:t xml:space="preserve"> · language coverage &amp; cross-language accuracy parity · follow-up engagement · retention · cost-per-triage vs revenue-per-converted-user.</w:t>
      </w:r>
    </w:p>
    <w:p>
      <w:pPr>
        <w:pStyle w:val="Heading3"/>
      </w:pPr>
      <w:r>
        <w:t xml:space="preserve">Phased roadmap</w:t>
      </w:r>
    </w:p>
    <w:p>
      <w:pPr>
        <w:pStyle w:val="ListParagraph"/>
        <w:numPr>
          <w:ilvl w:val="0"/>
          <w:numId w:val="4"/>
        </w:numPr>
        <w:spacing w:after="70" w:line="268"/>
      </w:pPr>
      <w:r>
        <w:rPr>
          <w:b/>
          <w:bCs/>
          <w:i w:val="false"/>
          <w:iCs w:val="false"/>
          <w:color w:val="222222"/>
          <w:sz w:val="22"/>
          <w:szCs w:val="22"/>
        </w:rPr>
        <w:t xml:space="preserve">Phase 1 (MVP): </w:t>
      </w:r>
      <w:r>
        <w:rPr>
          <w:b w:val="false"/>
          <w:bCs w:val="false"/>
          <w:i w:val="false"/>
          <w:iCs w:val="false"/>
          <w:color w:val="222222"/>
          <w:sz w:val="22"/>
          <w:szCs w:val="22"/>
        </w:rPr>
        <w:t xml:space="preserve">App + WhatsApp triage in English + Pidgin; licensed engine + red-flag layer; 5-level disposition; routing to Pharmacy/Lab/telemedicine with wallet payment; records vault; emergency screen. Clinician-validated on an African vignette set.</w:t>
      </w:r>
    </w:p>
    <w:p>
      <w:pPr>
        <w:pStyle w:val="ListParagraph"/>
        <w:numPr>
          <w:ilvl w:val="0"/>
          <w:numId w:val="4"/>
        </w:numPr>
        <w:spacing w:after="70" w:line="268"/>
      </w:pPr>
      <w:r>
        <w:rPr>
          <w:b/>
          <w:bCs/>
          <w:i w:val="false"/>
          <w:iCs w:val="false"/>
          <w:color w:val="222222"/>
          <w:sz w:val="22"/>
          <w:szCs w:val="22"/>
        </w:rPr>
        <w:t xml:space="preserve">Phase 2: </w:t>
      </w:r>
      <w:r>
        <w:rPr>
          <w:b w:val="false"/>
          <w:bCs w:val="false"/>
          <w:i w:val="false"/>
          <w:iCs w:val="false"/>
          <w:color w:val="222222"/>
          <w:sz w:val="22"/>
          <w:szCs w:val="22"/>
        </w:rPr>
        <w:t xml:space="preserve">Voice (ASR) + Hausa/Yoruba/Igbo; USSD/SMS; body-map; Africa-tuning content depth; follow-up check-ins; epidemiology dashboard.</w:t>
      </w:r>
    </w:p>
    <w:p>
      <w:pPr>
        <w:pStyle w:val="ListParagraph"/>
        <w:numPr>
          <w:ilvl w:val="0"/>
          <w:numId w:val="4"/>
        </w:numPr>
        <w:spacing w:after="70" w:line="268"/>
      </w:pPr>
      <w:r>
        <w:rPr>
          <w:b/>
          <w:bCs/>
          <w:i w:val="false"/>
          <w:iCs w:val="false"/>
          <w:color w:val="222222"/>
          <w:sz w:val="22"/>
          <w:szCs w:val="22"/>
        </w:rPr>
        <w:t xml:space="preserve">Phase 3: </w:t>
      </w:r>
      <w:r>
        <w:rPr>
          <w:b w:val="false"/>
          <w:bCs w:val="false"/>
          <w:i w:val="false"/>
          <w:iCs w:val="false"/>
          <w:color w:val="222222"/>
          <w:sz w:val="22"/>
          <w:szCs w:val="22"/>
        </w:rPr>
        <w:t xml:space="preserve">Agent-assisted; offline path; chronic-care journeys; outbreak-signal / public-health partnerships (ONSA/NDLEA/NCDC-style); deeper personalization from records.</w:t>
      </w:r>
    </w:p>
    <w:p>
      <w:pPr>
        <w:pStyle w:val="Heading3"/>
      </w:pPr>
      <w:r>
        <w:t xml:space="preserve">Risks &amp; mitigations</w:t>
      </w:r>
    </w:p>
    <w:p>
      <w:pPr>
        <w:pStyle w:val="ListParagraph"/>
        <w:numPr>
          <w:ilvl w:val="0"/>
          <w:numId w:val="2"/>
        </w:numPr>
        <w:spacing w:after="70" w:line="268"/>
      </w:pPr>
      <w:r>
        <w:rPr>
          <w:b/>
          <w:bCs/>
          <w:i w:val="false"/>
          <w:iCs w:val="false"/>
          <w:color w:val="222222"/>
          <w:sz w:val="22"/>
          <w:szCs w:val="22"/>
        </w:rPr>
        <w:t xml:space="preserve">Clinical liability / unsafe triage → </w:t>
      </w:r>
      <w:r>
        <w:rPr>
          <w:b w:val="false"/>
          <w:bCs w:val="false"/>
          <w:i w:val="false"/>
          <w:iCs w:val="false"/>
          <w:color w:val="222222"/>
          <w:sz w:val="22"/>
          <w:szCs w:val="22"/>
        </w:rPr>
        <w:t xml:space="preserve">deterministic red-flag layer, conservative bias, clinician sign-off, shadow-mode validation, “not a diagnosis” scope.</w:t>
      </w:r>
    </w:p>
    <w:p>
      <w:pPr>
        <w:pStyle w:val="ListParagraph"/>
        <w:numPr>
          <w:ilvl w:val="0"/>
          <w:numId w:val="2"/>
        </w:numPr>
        <w:spacing w:after="70" w:line="268"/>
      </w:pPr>
      <w:r>
        <w:rPr>
          <w:b/>
          <w:bCs/>
          <w:i w:val="false"/>
          <w:iCs w:val="false"/>
          <w:color w:val="222222"/>
          <w:sz w:val="22"/>
          <w:szCs w:val="22"/>
        </w:rPr>
        <w:t xml:space="preserve">LLM hallucination → </w:t>
      </w:r>
      <w:r>
        <w:rPr>
          <w:b w:val="false"/>
          <w:bCs w:val="false"/>
          <w:i w:val="false"/>
          <w:iCs w:val="false"/>
          <w:color w:val="222222"/>
          <w:sz w:val="22"/>
          <w:szCs w:val="22"/>
        </w:rPr>
        <w:t xml:space="preserve">LLM confined to evidence extraction + curated RAG; reasoning in the validated engine.</w:t>
      </w:r>
    </w:p>
    <w:p>
      <w:pPr>
        <w:pStyle w:val="ListParagraph"/>
        <w:numPr>
          <w:ilvl w:val="0"/>
          <w:numId w:val="2"/>
        </w:numPr>
        <w:spacing w:after="70" w:line="268"/>
      </w:pPr>
      <w:r>
        <w:rPr>
          <w:b/>
          <w:bCs/>
          <w:i w:val="false"/>
          <w:iCs w:val="false"/>
          <w:color w:val="222222"/>
          <w:sz w:val="22"/>
          <w:szCs w:val="22"/>
        </w:rPr>
        <w:t xml:space="preserve">Regulatory (medical-device) → </w:t>
      </w:r>
      <w:r>
        <w:rPr>
          <w:b w:val="false"/>
          <w:bCs w:val="false"/>
          <w:i w:val="false"/>
          <w:iCs w:val="false"/>
          <w:color w:val="222222"/>
          <w:sz w:val="22"/>
          <w:szCs w:val="22"/>
        </w:rPr>
        <w:t xml:space="preserve">scope to triage/navigation, not diagnosis; monitor NAFDAC/SaMD; clinician oversight; legal review.</w:t>
      </w:r>
    </w:p>
    <w:p>
      <w:pPr>
        <w:pStyle w:val="ListParagraph"/>
        <w:numPr>
          <w:ilvl w:val="0"/>
          <w:numId w:val="2"/>
        </w:numPr>
        <w:spacing w:after="70" w:line="268"/>
      </w:pPr>
      <w:r>
        <w:rPr>
          <w:b/>
          <w:bCs/>
          <w:i w:val="false"/>
          <w:iCs w:val="false"/>
          <w:color w:val="222222"/>
          <w:sz w:val="22"/>
          <w:szCs w:val="22"/>
        </w:rPr>
        <w:t xml:space="preserve">Trust / adoption → </w:t>
      </w:r>
      <w:r>
        <w:rPr>
          <w:b w:val="false"/>
          <w:bCs w:val="false"/>
          <w:i w:val="false"/>
          <w:iCs w:val="false"/>
          <w:color w:val="222222"/>
          <w:sz w:val="22"/>
          <w:szCs w:val="22"/>
        </w:rPr>
        <w:t xml:space="preserve">local clinician branding, vernacular, free triage, visible safety; agent-assisted onboarding.</w:t>
      </w:r>
    </w:p>
    <w:p>
      <w:pPr>
        <w:pStyle w:val="ListParagraph"/>
        <w:numPr>
          <w:ilvl w:val="0"/>
          <w:numId w:val="2"/>
        </w:numPr>
        <w:spacing w:after="70" w:line="268"/>
      </w:pPr>
      <w:r>
        <w:rPr>
          <w:b/>
          <w:bCs/>
          <w:i w:val="false"/>
          <w:iCs w:val="false"/>
          <w:color w:val="222222"/>
          <w:sz w:val="22"/>
          <w:szCs w:val="22"/>
        </w:rPr>
        <w:t xml:space="preserve">Connectivity / inclusion → </w:t>
      </w:r>
      <w:r>
        <w:rPr>
          <w:b w:val="false"/>
          <w:bCs w:val="false"/>
          <w:i w:val="false"/>
          <w:iCs w:val="false"/>
          <w:color w:val="222222"/>
          <w:sz w:val="22"/>
          <w:szCs w:val="22"/>
        </w:rPr>
        <w:t xml:space="preserve">USSD/SMS/offline path; low-bandwidth design.</w:t>
      </w:r>
    </w:p>
    <w:p>
      <w:pPr>
        <w:pStyle w:val="ListParagraph"/>
        <w:numPr>
          <w:ilvl w:val="0"/>
          <w:numId w:val="2"/>
        </w:numPr>
        <w:spacing w:after="70" w:line="268"/>
      </w:pPr>
      <w:r>
        <w:rPr>
          <w:b/>
          <w:bCs/>
          <w:i w:val="false"/>
          <w:iCs w:val="false"/>
          <w:color w:val="222222"/>
          <w:sz w:val="22"/>
          <w:szCs w:val="22"/>
        </w:rPr>
        <w:t xml:space="preserve">Data privacy (NDPA) → </w:t>
      </w:r>
      <w:r>
        <w:rPr>
          <w:b w:val="false"/>
          <w:bCs w:val="false"/>
          <w:i w:val="false"/>
          <w:iCs w:val="false"/>
          <w:color w:val="222222"/>
          <w:sz w:val="22"/>
          <w:szCs w:val="22"/>
        </w:rPr>
        <w:t xml:space="preserve">consent, encryption, residency, de-identified engine calls, access logs.</w:t>
      </w:r>
    </w:p>
    <w:p>
      <w:r>
        <w:br w:type="page"/>
      </w:r>
    </w:p>
    <w:p>
      <w:pPr>
        <w:pStyle w:val="Heading1"/>
      </w:pPr>
      <w:r>
        <w:t xml:space="preserve">13.  Key sources</w:t>
      </w:r>
    </w:p>
    <w:p>
      <w:pPr>
        <w:pBdr>
          <w:bottom w:val="single" w:color="0E7C7B" w:sz="8" w:space="1"/>
        </w:pBdr>
        <w:spacing w:after="110" w:before="30"/>
      </w:pPr>
      <w:r>
        <w:t xml:space="preserve"/>
      </w:r>
    </w:p>
    <w:p>
      <w:pPr>
        <w:spacing w:after="80" w:line="272"/>
        <w:jc w:val="left"/>
      </w:pPr>
      <w:r>
        <w:rPr>
          <w:b/>
          <w:bCs/>
          <w:i w:val="false"/>
          <w:iCs w:val="false"/>
          <w:color w:val="222222"/>
          <w:sz w:val="22"/>
          <w:szCs w:val="22"/>
        </w:rPr>
        <w:t xml:space="preserve">Competitive &amp; clinical evidence (paraphrased; verify before quoting):</w:t>
      </w:r>
    </w:p>
    <w:p>
      <w:pPr>
        <w:pStyle w:val="ListParagraph"/>
        <w:numPr>
          <w:ilvl w:val="0"/>
          <w:numId w:val="2"/>
        </w:numPr>
        <w:spacing w:after="70" w:line="268"/>
      </w:pPr>
      <w:r>
        <w:rPr>
          <w:b w:val="false"/>
          <w:bCs w:val="false"/>
          <w:i w:val="false"/>
          <w:iCs w:val="false"/>
          <w:color w:val="222222"/>
          <w:sz w:val="19"/>
          <w:szCs w:val="19"/>
        </w:rPr>
        <w:t xml:space="preserve">Ada Health ED study — diagnostic &amp; triage accuracy, Bayesian network (JMIR / PMC).</w:t>
      </w:r>
    </w:p>
    <w:p>
      <w:pPr>
        <w:pStyle w:val="ListParagraph"/>
        <w:numPr>
          <w:ilvl w:val="0"/>
          <w:numId w:val="2"/>
        </w:numPr>
        <w:spacing w:after="70" w:line="268"/>
      </w:pPr>
      <w:r>
        <w:rPr>
          <w:b w:val="false"/>
          <w:bCs w:val="false"/>
          <w:i w:val="false"/>
          <w:iCs w:val="false"/>
          <w:color w:val="222222"/>
          <w:sz w:val="19"/>
          <w:szCs w:val="19"/>
        </w:rPr>
        <w:t xml:space="preserve">Ada vs WebMD vs ChatGPT ED comparison — triage safety, unsafe-rate findings (JMIR mHealth, 2023).</w:t>
      </w:r>
    </w:p>
    <w:p>
      <w:pPr>
        <w:pStyle w:val="ListParagraph"/>
        <w:numPr>
          <w:ilvl w:val="0"/>
          <w:numId w:val="2"/>
        </w:numPr>
        <w:spacing w:after="70" w:line="268"/>
      </w:pPr>
      <w:r>
        <w:rPr>
          <w:b w:val="false"/>
          <w:bCs w:val="false"/>
          <w:i w:val="false"/>
          <w:iCs w:val="false"/>
          <w:color w:val="222222"/>
          <w:sz w:val="19"/>
          <w:szCs w:val="19"/>
        </w:rPr>
        <w:t xml:space="preserve">Infermedica developer docs — Engine/Platform API, /diagnosis &amp; /triage, 5-level triage, de-identified engine.</w:t>
      </w:r>
    </w:p>
    <w:p>
      <w:pPr>
        <w:pStyle w:val="ListParagraph"/>
        <w:numPr>
          <w:ilvl w:val="0"/>
          <w:numId w:val="2"/>
        </w:numPr>
        <w:spacing w:after="70" w:line="268"/>
      </w:pPr>
      <w:r>
        <w:rPr>
          <w:b w:val="false"/>
          <w:bCs w:val="false"/>
          <w:i w:val="false"/>
          <w:iCs w:val="false"/>
          <w:color w:val="222222"/>
          <w:sz w:val="19"/>
          <w:szCs w:val="19"/>
        </w:rPr>
        <w:t xml:space="preserve">Infermedica &amp; Microsoft Healthcare Agent — Class IIb device, ISO/HIPAA/GDPR, white-label triage (Microsoft Learn).</w:t>
      </w:r>
    </w:p>
    <w:p>
      <w:pPr>
        <w:pStyle w:val="ListParagraph"/>
        <w:numPr>
          <w:ilvl w:val="0"/>
          <w:numId w:val="2"/>
        </w:numPr>
        <w:spacing w:after="70" w:line="268"/>
      </w:pPr>
      <w:r>
        <w:rPr>
          <w:b w:val="false"/>
          <w:bCs w:val="false"/>
          <w:i w:val="false"/>
          <w:iCs w:val="false"/>
          <w:color w:val="222222"/>
          <w:sz w:val="19"/>
          <w:szCs w:val="19"/>
        </w:rPr>
        <w:t xml:space="preserve">Ubie Symptom Checker vignette study — Top-5/Top-10 accuracy, physician-curated (medRxiv, company-funded).</w:t>
      </w:r>
    </w:p>
    <w:p>
      <w:pPr>
        <w:pStyle w:val="ListParagraph"/>
        <w:numPr>
          <w:ilvl w:val="0"/>
          <w:numId w:val="2"/>
        </w:numPr>
        <w:spacing w:after="70" w:line="268"/>
      </w:pPr>
      <w:r>
        <w:rPr>
          <w:b w:val="false"/>
          <w:bCs w:val="false"/>
          <w:i w:val="false"/>
          <w:iCs w:val="false"/>
          <w:color w:val="222222"/>
          <w:sz w:val="19"/>
          <w:szCs w:val="19"/>
        </w:rPr>
        <w:t xml:space="preserve">Avey/Ada/WebMD/K Health/Buoy/Babylon 400-vignette study — comparative accuracy &amp; failures (JMIR AI, 2024).</w:t>
      </w:r>
    </w:p>
    <w:p>
      <w:pPr>
        <w:pStyle w:val="ListParagraph"/>
        <w:numPr>
          <w:ilvl w:val="0"/>
          <w:numId w:val="2"/>
        </w:numPr>
        <w:spacing w:after="70" w:line="268"/>
      </w:pPr>
      <w:r>
        <w:rPr>
          <w:b w:val="false"/>
          <w:bCs w:val="false"/>
          <w:i w:val="false"/>
          <w:iCs w:val="false"/>
          <w:color w:val="222222"/>
          <w:sz w:val="19"/>
          <w:szCs w:val="19"/>
        </w:rPr>
        <w:t xml:space="preserve">Multilingual AI triage in Africa — language burden, triage-accuracy range (PMC, 2025).</w:t>
      </w:r>
    </w:p>
    <w:p>
      <w:pPr>
        <w:pStyle w:val="ListParagraph"/>
        <w:numPr>
          <w:ilvl w:val="0"/>
          <w:numId w:val="2"/>
        </w:numPr>
        <w:spacing w:after="70" w:line="268"/>
      </w:pPr>
      <w:r>
        <w:rPr>
          <w:b w:val="false"/>
          <w:bCs w:val="false"/>
          <w:i w:val="false"/>
          <w:iCs w:val="false"/>
          <w:color w:val="222222"/>
          <w:sz w:val="19"/>
          <w:szCs w:val="19"/>
        </w:rPr>
        <w:t xml:space="preserve">Wellvis COVID triage tool — Nigerian multilingual + USSD deployment (Digital Health, 2021).</w:t>
      </w:r>
    </w:p>
    <w:p>
      <w:pPr>
        <w:pStyle w:val="ListParagraph"/>
        <w:numPr>
          <w:ilvl w:val="0"/>
          <w:numId w:val="2"/>
        </w:numPr>
        <w:spacing w:after="70" w:line="268"/>
      </w:pPr>
      <w:r>
        <w:rPr>
          <w:b w:val="false"/>
          <w:bCs w:val="false"/>
          <w:i w:val="false"/>
          <w:iCs w:val="false"/>
          <w:color w:val="222222"/>
          <w:sz w:val="19"/>
          <w:szCs w:val="19"/>
        </w:rPr>
        <w:t xml:space="preserve">Healthtracka / Lola — WhatsApp health AI + at-home phlebotomy in Nigeria (Devex, 2025).</w:t>
      </w:r>
    </w:p>
    <w:p>
      <w:pPr>
        <w:spacing w:after="0" w:line="272"/>
        <w:jc w:val="left"/>
      </w:pPr>
      <w:r>
        <w:rPr>
          <w:b/>
          <w:bCs/>
          <w:i w:val="false"/>
          <w:iCs w:val="false"/>
          <w:color w:val="5A6472"/>
          <w:sz w:val="22"/>
          <w:szCs w:val="22"/>
        </w:rPr>
        <w:t xml:space="preserve">Note: </w:t>
      </w:r>
      <w:r>
        <w:rPr>
          <w:b w:val="false"/>
          <w:bCs w:val="false"/>
          <w:i/>
          <w:iCs/>
          <w:color w:val="5A6472"/>
          <w:sz w:val="19"/>
          <w:szCs w:val="19"/>
        </w:rPr>
        <w:t xml:space="preserve">accuracy figures vary by methodology (vignette vs real-patient) and some studies are vendor-funded; treat as directional and validate with an independent, Africa-specific clinical evaluation before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3" w:sz="4" w:space="4"/>
      </w:pBdr>
      <w:tabs>
        <w:tab w:val="right" w:pos="9360"/>
      </w:tabs>
    </w:pPr>
    <w:r>
      <w:rPr>
        <w:color w:val="5A6472"/>
        <w:sz w:val="15"/>
        <w:szCs w:val="15"/>
      </w:rPr>
      <w:t xml:space="preserve">Confidential — build-ready working document</w:t>
    </w:r>
    <w:r>
      <w:rPr>
        <w:color w:val="5A6472"/>
        <w:sz w:val="16"/>
        <w:szCs w:val="16"/>
      </w:rPr>
      <w:t xml:space="preserve">	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4"/>
      </w:pBdr>
      <w:tabs>
        <w:tab w:val="right" w:pos="9360"/>
      </w:tabs>
    </w:pPr>
    <w:r>
      <w:rPr>
        <w:color w:val="5A6472"/>
        <w:sz w:val="16"/>
        <w:szCs w:val="16"/>
      </w:rPr>
      <w:t xml:space="preserve">Spotlight · Paymax Health</w:t>
    </w:r>
    <w:r>
      <w:rPr>
        <w:color w:val="5A6472"/>
        <w:sz w:val="16"/>
        <w:szCs w:val="16"/>
      </w:rPr>
      <w:t xml:space="preserve">	AI Symptom Checker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0" w:hanging="250"/>
      </w:pPr>
      <w:rPr>
        <w:color w:val="0E7C7B"/>
      </w:rPr>
    </w:lvl>
  </w:abstractNum>
  <w:abstractNum w:abstractNumId="3" w15:restartNumberingAfterBreak="0">
    <w:multiLevelType w:val="hybridMultilevel"/>
    <w:lvl w:ilvl="0" w15:tentative="1">
      <w:start w:val="1"/>
      <w:numFmt w:val="decimal"/>
      <w:lvlText w:val="%1."/>
      <w:lvlJc w:val="left"/>
      <w:pPr>
        <w:ind w:left="430" w:hanging="290"/>
      </w:pPr>
      <w:rPr>
        <w:b/>
        <w:bCs/>
        <w:color w:val="0E7C7B"/>
      </w:rPr>
    </w:lvl>
  </w:abstractNum>
  <w:abstractNum w:abstractNumId="4" w15:restartNumberingAfterBreak="0">
    <w:multiLevelType w:val="hybridMultilevel"/>
    <w:lvl w:ilvl="0" w15:tentative="1">
      <w:start w:val="1"/>
      <w:numFmt w:val="decimal"/>
      <w:lvlText w:val="%1."/>
      <w:lvlJc w:val="left"/>
      <w:pPr>
        <w:ind w:left="430" w:hanging="290"/>
      </w:pPr>
      <w:rPr>
        <w:b/>
        <w:bCs/>
        <w:color w:val="0E7C7B"/>
      </w:rPr>
    </w:lvl>
  </w:abstractNum>
  <w:abstractNum w:abstractNumId="5" w15:restartNumberingAfterBreak="0">
    <w:multiLevelType w:val="hybridMultilevel"/>
    <w:lvl w:ilvl="0" w15:tentative="1">
      <w:start w:val="1"/>
      <w:numFmt w:val="decimal"/>
      <w:lvlText w:val="%1."/>
      <w:lvlJc w:val="left"/>
      <w:pPr>
        <w:ind w:left="430" w:hanging="290"/>
      </w:pPr>
      <w:rPr>
        <w:b/>
        <w:bCs/>
        <w:color w:val="0E7C7B"/>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160"/>
      <w:outlineLvl w:val="0"/>
    </w:pPr>
    <w:rPr>
      <w:rFonts w:ascii="Calibri" w:cs="Calibri" w:eastAsia="Calibri" w:hAnsi="Calibri"/>
      <w:b/>
      <w:bCs/>
      <w:color w:val="0B2545"/>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0E7C7B"/>
      <w:sz w:val="24"/>
      <w:szCs w:val="24"/>
    </w:rPr>
  </w:style>
  <w:style w:type="paragraph" w:styleId="Heading3">
    <w:name w:val="Heading 3"/>
    <w:basedOn w:val="Normal"/>
    <w:next w:val="Normal"/>
    <w:qFormat/>
    <w:pPr>
      <w:spacing w:after="50" w:before="140"/>
      <w:outlineLvl w:val="2"/>
    </w:pPr>
    <w:rPr>
      <w:rFonts w:ascii="Calibri" w:cs="Calibri" w:eastAsia="Calibri" w:hAnsi="Calibri"/>
      <w:b/>
      <w:bCs/>
      <w:color w:val="0B254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Paymax AI Symptom Checker — PRD</dc:title>
  <dc:creator>Paymax Product</dc:creator>
  <cp:lastModifiedBy>Un-named</cp:lastModifiedBy>
  <cp:revision>1</cp:revision>
  <dcterms:created xsi:type="dcterms:W3CDTF">2026-06-28T08:45:05.545Z</dcterms:created>
  <dcterms:modified xsi:type="dcterms:W3CDTF">2026-06-28T08:45:05.545Z</dcterms:modified>
</cp:coreProperties>
</file>

<file path=docProps/custom.xml><?xml version="1.0" encoding="utf-8"?>
<Properties xmlns="http://schemas.openxmlformats.org/officeDocument/2006/custom-properties" xmlns:vt="http://schemas.openxmlformats.org/officeDocument/2006/docPropsVTypes"/>
</file>