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b/>
          <w:bCs/>
          <w:color w:val="C9A227"/>
          <w:sz w:val="26"/>
          <w:szCs w:val="26"/>
        </w:rPr>
        <w:t xml:space="preserve">SPOTLIGHT ACADEMY  ·  PAYMAX</w:t>
      </w:r>
    </w:p>
    <w:p>
      <w:pPr>
        <w:pBdr>
          <w:bottom w:val="single" w:color="0B2545" w:sz="12" w:space="6"/>
        </w:pBdr>
        <w:spacing w:after="60"/>
      </w:pPr>
      <w:r>
        <w:rPr>
          <w:color w:val="595959"/>
          <w:sz w:val="16"/>
          <w:szCs w:val="16"/>
        </w:rPr>
        <w:t xml:space="preserve">PRODUCT REQUIREMENTS DOCUMENT</w:t>
      </w:r>
    </w:p>
    <w:p>
      <w:pPr>
        <w:spacing w:after="0" w:before="480"/>
      </w:pPr>
      <w:r>
        <w:rPr>
          <w:b/>
          <w:bCs/>
          <w:color w:val="0B2545"/>
          <w:sz w:val="50"/>
          <w:szCs w:val="50"/>
        </w:rPr>
        <w:t xml:space="preserve">School Fees, Payments &amp; Cross-School Competition Module</w:t>
      </w:r>
    </w:p>
    <w:p>
      <w:pPr>
        <w:spacing w:after="200"/>
      </w:pPr>
      <w:r>
        <w:rPr>
          <w:i/>
          <w:iCs/>
          <w:color w:val="13315C"/>
          <w:sz w:val="24"/>
          <w:szCs w:val="24"/>
        </w:rPr>
        <w:t xml:space="preserve">Gamified curriculum assessment, fee collection, escrow savings and auto-promotion for Nigerian primary &amp; secondary schools</w:t>
      </w:r>
    </w:p>
    <w:p>
      <w:pPr>
        <w:spacing w:before="300"/>
      </w:pPr>
      <w:r>
        <w:rPr>
          <w:color w:val="333333"/>
          <w:sz w:val="21"/>
          <w:szCs w:val="21"/>
        </w:rPr>
        <w:t xml:space="preserve">Prepared for Patrick Egbuji, CEO — Spotlight Creatives / Paymax</w:t>
      </w:r>
    </w:p>
    <w:p>
      <w:r>
        <w:rPr>
          <w:color w:val="595959"/>
          <w:sz w:val="19"/>
          <w:szCs w:val="19"/>
        </w:rPr>
        <w:t xml:space="preserve">08 July 2026  ·  Lagos, Nigeria</w:t>
      </w:r>
    </w:p>
    <w:p>
      <w:pPr>
        <w:spacing w:after="300"/>
      </w:pPr>
      <w:r>
        <w:t xml:space="preserve"/>
      </w:r>
    </w:p>
    <w:p>
      <w:pPr>
        <w:pBdr>
          <w:top w:val="none" w:color="FFFFFF" w:sz="0"/>
          <w:bottom w:val="none" w:color="FFFFFF" w:sz="0"/>
          <w:left w:val="single" w:color="C9A227" w:sz="24" w:space="8"/>
          <w:right w:val="none" w:color="FFFFFF" w:sz="0"/>
        </w:pBdr>
        <w:shd w:fill="FBF3D9" w:val="clear"/>
        <w:spacing w:after="200" w:before="120"/>
      </w:pPr>
      <w:r>
        <w:rPr>
          <w:b/>
          <w:bCs/>
          <w:color w:val="0B2545"/>
          <w:sz w:val="21"/>
          <w:szCs w:val="21"/>
        </w:rPr>
        <w:t xml:space="preserve">Positioning: this module extends Spotlight Academy (the existing NERDC-aligned K-12 platform — ~120 mobile screens, 28-module admin console, gamified quiz/exam-prep engine already specified). It reuses that curriculum spine and quiz engine wholesale and adds the layer Academy didn't yet have: the school-owner side — onboarding, class/session structure, fee collection, installments, escrow saving, exam-based promotion, and inter-school competition. It also reuses Paymax's existing wallet, ledger, KYC and payment-gateway rails — this is a new surface on old infrastructure, not a new fintech stack.</w:t>
      </w:r>
    </w:p>
    <w:p>
      <w:r>
        <w:br w:type="page"/>
      </w:r>
    </w:p>
    <w:p>
      <w:pPr>
        <w:pStyle w:val="Heading1"/>
        <w:pBdr>
          <w:bottom w:val="single" w:color="C9A227" w:sz="6" w:space="4"/>
        </w:pBdr>
        <w:spacing w:after="160" w:before="420"/>
      </w:pPr>
      <w:r>
        <w:rPr>
          <w:b/>
          <w:bCs/>
          <w:color w:val="0B2545"/>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9A227" w:sz="6" w:space="4"/>
        </w:pBdr>
        <w:spacing w:after="160" w:before="420"/>
      </w:pPr>
      <w:r>
        <w:rPr>
          <w:b/>
          <w:bCs/>
          <w:color w:val="0B2545"/>
          <w:sz w:val="30"/>
          <w:szCs w:val="30"/>
        </w:rPr>
        <w:t xml:space="preserve">1. Overview &amp; Positioning</w:t>
      </w:r>
    </w:p>
    <w:p>
      <w:pPr>
        <w:spacing w:after="160" w:line="300"/>
      </w:pPr>
      <w:r>
        <w:rPr>
          <w:b w:val="false"/>
          <w:bCs w:val="false"/>
          <w:i w:val="false"/>
          <w:iCs w:val="false"/>
          <w:color w:val="1A1A1A"/>
          <w:sz w:val="21"/>
          <w:szCs w:val="21"/>
        </w:rPr>
        <w:t xml:space="preserve">Nigerian schools currently choose between two incomplete worlds. School-management platforms — EDVES (2,300+ schools, WAEC/BECE/UTME prep bundled with fee automation), SchoolHub, SchoolShell — handle enrollment, fees, and basic CBT well, but treat gamification as an afterthought and have no broadcast, cross-school, or cultural layer. Payment-only rails — Paystack for Schools, Flutterwave Tuition — collect money cleanly but do nothing for engagement. Pure savings apps — Cowrywise's Study Plan, Risevest — help parents save toward fees but have zero visibility into what the school actually charges or how the child is performing.</w:t>
      </w:r>
    </w:p>
    <w:p>
      <w:pPr>
        <w:spacing w:after="160" w:line="300"/>
      </w:pPr>
      <w:r>
        <w:rPr>
          <w:b w:val="false"/>
          <w:bCs w:val="false"/>
          <w:i w:val="false"/>
          <w:iCs w:val="false"/>
          <w:color w:val="1A1A1A"/>
          <w:sz w:val="21"/>
          <w:szCs w:val="21"/>
        </w:rPr>
        <w:t xml:space="preserve">Nobody in this market combines fee collection, escrow saving, exam-based promotion, and genuinely game-grade competition with a national broadcast platform behind it. That combination — administrative rigor plus edutainment plus Spotlight's existing NTA relationship — is the wedge this module is built to occupy, and it's the same wedge already staked out in the core Spotlight Academy PRD.</w:t>
      </w:r>
    </w:p>
    <w:p>
      <w:pPr>
        <w:pStyle w:val="Heading2"/>
        <w:spacing w:after="120" w:before="280"/>
      </w:pPr>
      <w:r>
        <w:rPr>
          <w:b/>
          <w:bCs/>
          <w:color w:val="13315C"/>
          <w:sz w:val="25"/>
          <w:szCs w:val="25"/>
        </w:rPr>
        <w:t xml:space="preserve">1.1 Goal</w:t>
      </w:r>
    </w:p>
    <w:p>
      <w:pPr>
        <w:spacing w:after="160" w:line="300"/>
      </w:pPr>
      <w:r>
        <w:rPr>
          <w:b w:val="false"/>
          <w:bCs w:val="false"/>
          <w:i w:val="false"/>
          <w:iCs w:val="false"/>
          <w:color w:val="1A1A1A"/>
          <w:sz w:val="21"/>
          <w:szCs w:val="21"/>
        </w:rPr>
        <w:t xml:space="preserve">Give every Nigerian school — from a two-classroom private nursery to a multi-campus secondary school — a single platform where fees get collected reliably, parents can save ahead of the bill instead of scrambling at term-start, students compete academically the way they'd compete in sport, and promotion decisions are transparent, evidence-based, and administratively clean.</w:t>
      </w:r>
    </w:p>
    <w:p>
      <w:pPr>
        <w:pStyle w:val="Heading2"/>
        <w:spacing w:after="120" w:before="280"/>
      </w:pPr>
      <w:r>
        <w:rPr>
          <w:b/>
          <w:bCs/>
          <w:color w:val="13315C"/>
          <w:sz w:val="25"/>
          <w:szCs w:val="25"/>
        </w:rPr>
        <w:t xml:space="preserve">1.2 Specific Objectives</w:t>
      </w:r>
    </w:p>
    <w:p>
      <w:pPr>
        <w:pStyle w:val="ListParagraph"/>
        <w:numPr>
          <w:ilvl w:val="0"/>
          <w:numId w:val="1"/>
        </w:numPr>
        <w:spacing w:after="80" w:line="280"/>
      </w:pPr>
      <w:r>
        <w:rPr>
          <w:color w:val="1A1A1A"/>
          <w:sz w:val="21"/>
          <w:szCs w:val="21"/>
        </w:rPr>
        <w:t xml:space="preserve">Reduce fee-collection friction and default rates for school owners through structured installments, automated reminders, and parent-side escrow saving — not through punitive access controls.</w:t>
      </w:r>
    </w:p>
    <w:p>
      <w:pPr>
        <w:pStyle w:val="ListParagraph"/>
        <w:numPr>
          <w:ilvl w:val="0"/>
          <w:numId w:val="1"/>
        </w:numPr>
        <w:spacing w:after="80" w:line="280"/>
      </w:pPr>
      <w:r>
        <w:rPr>
          <w:color w:val="1A1A1A"/>
          <w:sz w:val="21"/>
          <w:szCs w:val="21"/>
        </w:rPr>
        <w:t xml:space="preserve">Give parents a single dashboard for every child, in every school, with full visibility into what's owed, what's paid, and what's being saved.</w:t>
      </w:r>
    </w:p>
    <w:p>
      <w:pPr>
        <w:pStyle w:val="ListParagraph"/>
        <w:numPr>
          <w:ilvl w:val="0"/>
          <w:numId w:val="1"/>
        </w:numPr>
        <w:spacing w:after="80" w:line="280"/>
      </w:pPr>
      <w:r>
        <w:rPr>
          <w:color w:val="1A1A1A"/>
          <w:sz w:val="21"/>
          <w:szCs w:val="21"/>
        </w:rPr>
        <w:t xml:space="preserve">Turn curriculum mastery into a genuinely competitive, watchable experience — inside a school, across a city, and eventually across the country — using the NERDC-aligned quiz engine already built for Spotlight Academy.</w:t>
      </w:r>
    </w:p>
    <w:p>
      <w:pPr>
        <w:pStyle w:val="ListParagraph"/>
        <w:numPr>
          <w:ilvl w:val="0"/>
          <w:numId w:val="1"/>
        </w:numPr>
        <w:spacing w:after="80" w:line="280"/>
      </w:pPr>
      <w:r>
        <w:rPr>
          <w:color w:val="1A1A1A"/>
          <w:sz w:val="21"/>
          <w:szCs w:val="21"/>
        </w:rPr>
        <w:t xml:space="preserve">Make exam-based promotion an auditable, human-approved workflow rather than a manual, error-prone, end-of-term scramble.</w:t>
      </w:r>
    </w:p>
    <w:p>
      <w:pPr>
        <w:pStyle w:val="ListParagraph"/>
        <w:numPr>
          <w:ilvl w:val="0"/>
          <w:numId w:val="1"/>
        </w:numPr>
        <w:spacing w:after="80" w:line="280"/>
      </w:pPr>
      <w:r>
        <w:rPr>
          <w:color w:val="1A1A1A"/>
          <w:sz w:val="21"/>
          <w:szCs w:val="21"/>
        </w:rPr>
        <w:t xml:space="preserve">Build a data layer schools can optionally share with government education bodies (UBEC, SUBEBs) that maps directly onto formats those bodies already use — turning compliance reporting from a burden into a byproduct.</w:t>
      </w:r>
    </w:p>
    <w:p>
      <w:pPr>
        <w:pStyle w:val="Heading2"/>
        <w:spacing w:after="120" w:before="280"/>
      </w:pPr>
      <w:r>
        <w:rPr>
          <w:b/>
          <w:bCs/>
          <w:color w:val="13315C"/>
          <w:sz w:val="25"/>
          <w:szCs w:val="25"/>
        </w:rPr>
        <w:t xml:space="preserve">1.3 Reuse vs. net-new</w:t>
      </w:r>
    </w:p>
    <w:tbl>
      <w:tblPr>
        <w:tblW w:type="dxa" w:w="9360"/>
        <w:tblBorders>
          <w:top w:val="single" w:color="D5DCE3" w:sz="2"/>
          <w:left w:val="single" w:color="D5DCE3" w:sz="2"/>
          <w:bottom w:val="single" w:color="D5DCE3" w:sz="2"/>
          <w:right w:val="single" w:color="D5DCE3" w:sz="2"/>
          <w:insideH w:val="single" w:color="D5DCE3" w:sz="2"/>
          <w:insideV w:val="single" w:color="D5DCE3" w:sz="2"/>
        </w:tblBorders>
      </w:tblPr>
      <w:tblGrid>
        <w:gridCol w:w="3000"/>
        <w:gridCol w:w="3300"/>
        <w:gridCol w:w="3060"/>
      </w:tblGrid>
      <w:tr>
        <w:trPr>
          <w:tblHeader/>
        </w:trPr>
        <w:tc>
          <w:tcPr>
            <w:tcW w:type="dxa" w:w="3000"/>
            <w:shd w:fill="0B2545" w:val="clear"/>
            <w:tcMar>
              <w:top w:type="dxa" w:w="70"/>
              <w:left w:type="dxa" w:w="100"/>
              <w:bottom w:type="dxa" w:w="70"/>
              <w:right w:type="dxa" w:w="100"/>
            </w:tcMar>
            <w:vAlign w:val="center"/>
          </w:tcPr>
          <w:p>
            <w:r>
              <w:rPr>
                <w:b/>
                <w:bCs/>
                <w:color w:val="FFFFFF"/>
                <w:sz w:val="17"/>
                <w:szCs w:val="17"/>
              </w:rPr>
              <w:t xml:space="preserve">Capability</w:t>
            </w:r>
          </w:p>
        </w:tc>
        <w:tc>
          <w:tcPr>
            <w:tcW w:type="dxa" w:w="3300"/>
            <w:shd w:fill="0B2545" w:val="clear"/>
            <w:tcMar>
              <w:top w:type="dxa" w:w="70"/>
              <w:left w:type="dxa" w:w="100"/>
              <w:bottom w:type="dxa" w:w="70"/>
              <w:right w:type="dxa" w:w="100"/>
            </w:tcMar>
            <w:vAlign w:val="center"/>
          </w:tcPr>
          <w:p>
            <w:r>
              <w:rPr>
                <w:b/>
                <w:bCs/>
                <w:color w:val="FFFFFF"/>
                <w:sz w:val="17"/>
                <w:szCs w:val="17"/>
              </w:rPr>
              <w:t xml:space="preserve">Source</w:t>
            </w:r>
          </w:p>
        </w:tc>
        <w:tc>
          <w:tcPr>
            <w:tcW w:type="dxa" w:w="3060"/>
            <w:shd w:fill="0B2545" w:val="clear"/>
            <w:tcMar>
              <w:top w:type="dxa" w:w="70"/>
              <w:left w:type="dxa" w:w="100"/>
              <w:bottom w:type="dxa" w:w="70"/>
              <w:right w:type="dxa" w:w="100"/>
            </w:tcMar>
            <w:vAlign w:val="center"/>
          </w:tcPr>
          <w:p>
            <w:r>
              <w:rPr>
                <w:b/>
                <w:bCs/>
                <w:color w:val="FFFFFF"/>
                <w:sz w:val="17"/>
                <w:szCs w:val="17"/>
              </w:rPr>
              <w:t xml:space="preserve">Net-new work</w:t>
            </w:r>
          </w:p>
        </w:tc>
      </w:tr>
      <w:tr>
        <w:tc>
          <w:tcPr>
            <w:tcW w:type="dxa" w:w="3000"/>
            <w:shd w:fill="FFFFFF" w:val="clear"/>
            <w:tcMar>
              <w:top w:type="dxa" w:w="70"/>
              <w:left w:type="dxa" w:w="100"/>
              <w:bottom w:type="dxa" w:w="70"/>
              <w:right w:type="dxa" w:w="100"/>
            </w:tcMar>
            <w:vAlign w:val="center"/>
          </w:tcPr>
          <w:p>
            <w:pPr>
              <w:spacing w:after="30"/>
            </w:pPr>
            <w:r>
              <w:rPr>
                <w:color w:val="2A2A2A"/>
                <w:sz w:val="17"/>
                <w:szCs w:val="17"/>
              </w:rPr>
              <w:t xml:space="preserve">Wallet, ledger, KYC tiers, virtual accounts</w:t>
            </w:r>
          </w:p>
        </w:tc>
        <w:tc>
          <w:tcPr>
            <w:tcW w:type="dxa" w:w="3300"/>
            <w:shd w:fill="FFFFFF" w:val="clear"/>
            <w:tcMar>
              <w:top w:type="dxa" w:w="70"/>
              <w:left w:type="dxa" w:w="100"/>
              <w:bottom w:type="dxa" w:w="70"/>
              <w:right w:type="dxa" w:w="100"/>
            </w:tcMar>
            <w:vAlign w:val="center"/>
          </w:tcPr>
          <w:p>
            <w:pPr>
              <w:spacing w:after="30"/>
            </w:pPr>
            <w:r>
              <w:rPr>
                <w:color w:val="2A2A2A"/>
                <w:sz w:val="17"/>
                <w:szCs w:val="17"/>
              </w:rPr>
              <w:t xml:space="preserve">Existing Paymax core</w:t>
            </w:r>
          </w:p>
        </w:tc>
        <w:tc>
          <w:tcPr>
            <w:tcW w:type="dxa" w:w="3060"/>
            <w:shd w:fill="FFFFFF" w:val="clear"/>
            <w:tcMar>
              <w:top w:type="dxa" w:w="70"/>
              <w:left w:type="dxa" w:w="100"/>
              <w:bottom w:type="dxa" w:w="70"/>
              <w:right w:type="dxa" w:w="100"/>
            </w:tcMar>
            <w:vAlign w:val="center"/>
          </w:tcPr>
          <w:p>
            <w:pPr>
              <w:spacing w:after="30"/>
            </w:pPr>
            <w:r>
              <w:rPr>
                <w:color w:val="2A2A2A"/>
                <w:sz w:val="17"/>
                <w:szCs w:val="17"/>
              </w:rPr>
              <w:t xml:space="preserve">None — this module is a new client on existing rails</w:t>
            </w:r>
          </w:p>
        </w:tc>
      </w:tr>
      <w:tr>
        <w:tc>
          <w:tcPr>
            <w:tcW w:type="dxa" w:w="3000"/>
            <w:shd w:fill="F2F2F2" w:val="clear"/>
            <w:tcMar>
              <w:top w:type="dxa" w:w="70"/>
              <w:left w:type="dxa" w:w="100"/>
              <w:bottom w:type="dxa" w:w="70"/>
              <w:right w:type="dxa" w:w="100"/>
            </w:tcMar>
            <w:vAlign w:val="center"/>
          </w:tcPr>
          <w:p>
            <w:pPr>
              <w:spacing w:after="30"/>
            </w:pPr>
            <w:r>
              <w:rPr>
                <w:color w:val="2A2A2A"/>
                <w:sz w:val="17"/>
                <w:szCs w:val="17"/>
              </w:rPr>
              <w:t xml:space="preserve">Quiz engine, question bank, NERDC curriculum spine</w:t>
            </w:r>
          </w:p>
        </w:tc>
        <w:tc>
          <w:tcPr>
            <w:tcW w:type="dxa" w:w="3300"/>
            <w:shd w:fill="F2F2F2" w:val="clear"/>
            <w:tcMar>
              <w:top w:type="dxa" w:w="70"/>
              <w:left w:type="dxa" w:w="100"/>
              <w:bottom w:type="dxa" w:w="70"/>
              <w:right w:type="dxa" w:w="100"/>
            </w:tcMar>
            <w:vAlign w:val="center"/>
          </w:tcPr>
          <w:p>
            <w:pPr>
              <w:spacing w:after="30"/>
            </w:pPr>
            <w:r>
              <w:rPr>
                <w:color w:val="2A2A2A"/>
                <w:sz w:val="17"/>
                <w:szCs w:val="17"/>
              </w:rPr>
              <w:t xml:space="preserve">Existing Spotlight Academy PRD</w:t>
            </w:r>
          </w:p>
        </w:tc>
        <w:tc>
          <w:tcPr>
            <w:tcW w:type="dxa" w:w="3060"/>
            <w:shd w:fill="F2F2F2" w:val="clear"/>
            <w:tcMar>
              <w:top w:type="dxa" w:w="70"/>
              <w:left w:type="dxa" w:w="100"/>
              <w:bottom w:type="dxa" w:w="70"/>
              <w:right w:type="dxa" w:w="100"/>
            </w:tcMar>
            <w:vAlign w:val="center"/>
          </w:tcPr>
          <w:p>
            <w:pPr>
              <w:spacing w:after="30"/>
            </w:pPr>
            <w:r>
              <w:rPr>
                <w:color w:val="2A2A2A"/>
                <w:sz w:val="17"/>
                <w:szCs w:val="17"/>
              </w:rPr>
              <w:t xml:space="preserve">Extend with cross-school scope, not rebuild</w:t>
            </w:r>
          </w:p>
        </w:tc>
      </w:tr>
      <w:tr>
        <w:tc>
          <w:tcPr>
            <w:tcW w:type="dxa" w:w="3000"/>
            <w:shd w:fill="FFFFFF" w:val="clear"/>
            <w:tcMar>
              <w:top w:type="dxa" w:w="70"/>
              <w:left w:type="dxa" w:w="100"/>
              <w:bottom w:type="dxa" w:w="70"/>
              <w:right w:type="dxa" w:w="100"/>
            </w:tcMar>
            <w:vAlign w:val="center"/>
          </w:tcPr>
          <w:p>
            <w:pPr>
              <w:spacing w:after="30"/>
            </w:pPr>
            <w:r>
              <w:rPr>
                <w:color w:val="2A2A2A"/>
                <w:sz w:val="17"/>
                <w:szCs w:val="17"/>
              </w:rPr>
              <w:t xml:space="preserve">Payment gateway (Paystack/Flutterwave adapters)</w:t>
            </w:r>
          </w:p>
        </w:tc>
        <w:tc>
          <w:tcPr>
            <w:tcW w:type="dxa" w:w="3300"/>
            <w:shd w:fill="FFFFFF" w:val="clear"/>
            <w:tcMar>
              <w:top w:type="dxa" w:w="70"/>
              <w:left w:type="dxa" w:w="100"/>
              <w:bottom w:type="dxa" w:w="70"/>
              <w:right w:type="dxa" w:w="100"/>
            </w:tcMar>
            <w:vAlign w:val="center"/>
          </w:tcPr>
          <w:p>
            <w:pPr>
              <w:spacing w:after="30"/>
            </w:pPr>
            <w:r>
              <w:rPr>
                <w:color w:val="2A2A2A"/>
                <w:sz w:val="17"/>
                <w:szCs w:val="17"/>
              </w:rPr>
              <w:t xml:space="preserve">Existing provider-agnostic gateway</w:t>
            </w:r>
          </w:p>
        </w:tc>
        <w:tc>
          <w:tcPr>
            <w:tcW w:type="dxa" w:w="3060"/>
            <w:shd w:fill="FFFFFF" w:val="clear"/>
            <w:tcMar>
              <w:top w:type="dxa" w:w="70"/>
              <w:left w:type="dxa" w:w="100"/>
              <w:bottom w:type="dxa" w:w="70"/>
              <w:right w:type="dxa" w:w="100"/>
            </w:tcMar>
            <w:vAlign w:val="center"/>
          </w:tcPr>
          <w:p>
            <w:pPr>
              <w:spacing w:after="30"/>
            </w:pPr>
            <w:r>
              <w:rPr>
                <w:color w:val="2A2A2A"/>
                <w:sz w:val="17"/>
                <w:szCs w:val="17"/>
              </w:rPr>
              <w:t xml:space="preserve">Add invoice-linked payment intents</w:t>
            </w:r>
          </w:p>
        </w:tc>
      </w:tr>
      <w:tr>
        <w:tc>
          <w:tcPr>
            <w:tcW w:type="dxa" w:w="3000"/>
            <w:shd w:fill="F2F2F2" w:val="clear"/>
            <w:tcMar>
              <w:top w:type="dxa" w:w="70"/>
              <w:left w:type="dxa" w:w="100"/>
              <w:bottom w:type="dxa" w:w="70"/>
              <w:right w:type="dxa" w:w="100"/>
            </w:tcMar>
            <w:vAlign w:val="center"/>
          </w:tcPr>
          <w:p>
            <w:pPr>
              <w:spacing w:after="30"/>
            </w:pPr>
            <w:r>
              <w:rPr>
                <w:color w:val="2A2A2A"/>
                <w:sz w:val="17"/>
                <w:szCs w:val="17"/>
              </w:rPr>
              <w:t xml:space="preserve">School onboarding, class/session structure, fee schedules</w:t>
            </w:r>
          </w:p>
        </w:tc>
        <w:tc>
          <w:tcPr>
            <w:tcW w:type="dxa" w:w="3300"/>
            <w:shd w:fill="F2F2F2" w:val="clear"/>
            <w:tcMar>
              <w:top w:type="dxa" w:w="70"/>
              <w:left w:type="dxa" w:w="100"/>
              <w:bottom w:type="dxa" w:w="70"/>
              <w:right w:type="dxa" w:w="100"/>
            </w:tcMar>
            <w:vAlign w:val="center"/>
          </w:tcPr>
          <w:p>
            <w:pPr>
              <w:spacing w:after="30"/>
            </w:pPr>
            <w:r>
              <w:rPr>
                <w:color w:val="2A2A2A"/>
                <w:sz w:val="17"/>
                <w:szCs w:val="17"/>
              </w:rPr>
              <w:t xml:space="preserve">New</w:t>
            </w:r>
          </w:p>
        </w:tc>
        <w:tc>
          <w:tcPr>
            <w:tcW w:type="dxa" w:w="3060"/>
            <w:shd w:fill="F2F2F2" w:val="clear"/>
            <w:tcMar>
              <w:top w:type="dxa" w:w="70"/>
              <w:left w:type="dxa" w:w="100"/>
              <w:bottom w:type="dxa" w:w="70"/>
              <w:right w:type="dxa" w:w="100"/>
            </w:tcMar>
            <w:vAlign w:val="center"/>
          </w:tcPr>
          <w:p>
            <w:pPr>
              <w:spacing w:after="30"/>
            </w:pPr>
            <w:r>
              <w:rPr>
                <w:color w:val="2A2A2A"/>
                <w:sz w:val="17"/>
                <w:szCs w:val="17"/>
              </w:rPr>
              <w:t xml:space="preserve">Full build — this is the gap</w:t>
            </w:r>
          </w:p>
        </w:tc>
      </w:tr>
      <w:tr>
        <w:tc>
          <w:tcPr>
            <w:tcW w:type="dxa" w:w="3000"/>
            <w:shd w:fill="FFFFFF" w:val="clear"/>
            <w:tcMar>
              <w:top w:type="dxa" w:w="70"/>
              <w:left w:type="dxa" w:w="100"/>
              <w:bottom w:type="dxa" w:w="70"/>
              <w:right w:type="dxa" w:w="100"/>
            </w:tcMar>
            <w:vAlign w:val="center"/>
          </w:tcPr>
          <w:p>
            <w:pPr>
              <w:spacing w:after="30"/>
            </w:pPr>
            <w:r>
              <w:rPr>
                <w:color w:val="2A2A2A"/>
                <w:sz w:val="17"/>
                <w:szCs w:val="17"/>
              </w:rPr>
              <w:t xml:space="preserve">Escrow "Fees Vault" savings</w:t>
            </w:r>
          </w:p>
        </w:tc>
        <w:tc>
          <w:tcPr>
            <w:tcW w:type="dxa" w:w="3300"/>
            <w:shd w:fill="FFFFFF" w:val="clear"/>
            <w:tcMar>
              <w:top w:type="dxa" w:w="70"/>
              <w:left w:type="dxa" w:w="100"/>
              <w:bottom w:type="dxa" w:w="70"/>
              <w:right w:type="dxa" w:w="100"/>
            </w:tcMar>
            <w:vAlign w:val="center"/>
          </w:tcPr>
          <w:p>
            <w:pPr>
              <w:spacing w:after="30"/>
            </w:pPr>
            <w:r>
              <w:rPr>
                <w:color w:val="2A2A2A"/>
                <w:sz w:val="17"/>
                <w:szCs w:val="17"/>
              </w:rPr>
              <w:t xml:space="preserve">New, modeled on existing wallet sub-account pattern</w:t>
            </w:r>
          </w:p>
        </w:tc>
        <w:tc>
          <w:tcPr>
            <w:tcW w:type="dxa" w:w="3060"/>
            <w:shd w:fill="FFFFFF" w:val="clear"/>
            <w:tcMar>
              <w:top w:type="dxa" w:w="70"/>
              <w:left w:type="dxa" w:w="100"/>
              <w:bottom w:type="dxa" w:w="70"/>
              <w:right w:type="dxa" w:w="100"/>
            </w:tcMar>
            <w:vAlign w:val="center"/>
          </w:tcPr>
          <w:p>
            <w:pPr>
              <w:spacing w:after="30"/>
            </w:pPr>
            <w:r>
              <w:rPr>
                <w:color w:val="2A2A2A"/>
                <w:sz w:val="17"/>
                <w:szCs w:val="17"/>
              </w:rPr>
              <w:t xml:space="preserve">Full build</w:t>
            </w:r>
          </w:p>
        </w:tc>
      </w:tr>
      <w:tr>
        <w:tc>
          <w:tcPr>
            <w:tcW w:type="dxa" w:w="3000"/>
            <w:shd w:fill="F2F2F2" w:val="clear"/>
            <w:tcMar>
              <w:top w:type="dxa" w:w="70"/>
              <w:left w:type="dxa" w:w="100"/>
              <w:bottom w:type="dxa" w:w="70"/>
              <w:right w:type="dxa" w:w="100"/>
            </w:tcMar>
            <w:vAlign w:val="center"/>
          </w:tcPr>
          <w:p>
            <w:pPr>
              <w:spacing w:after="30"/>
            </w:pPr>
            <w:r>
              <w:rPr>
                <w:color w:val="2A2A2A"/>
                <w:sz w:val="17"/>
                <w:szCs w:val="17"/>
              </w:rPr>
              <w:t xml:space="preserve">Exam-based auto-promotion state machine</w:t>
            </w:r>
          </w:p>
        </w:tc>
        <w:tc>
          <w:tcPr>
            <w:tcW w:type="dxa" w:w="3300"/>
            <w:shd w:fill="F2F2F2" w:val="clear"/>
            <w:tcMar>
              <w:top w:type="dxa" w:w="70"/>
              <w:left w:type="dxa" w:w="100"/>
              <w:bottom w:type="dxa" w:w="70"/>
              <w:right w:type="dxa" w:w="100"/>
            </w:tcMar>
            <w:vAlign w:val="center"/>
          </w:tcPr>
          <w:p>
            <w:pPr>
              <w:spacing w:after="30"/>
            </w:pPr>
            <w:r>
              <w:rPr>
                <w:color w:val="2A2A2A"/>
                <w:sz w:val="17"/>
                <w:szCs w:val="17"/>
              </w:rPr>
              <w:t xml:space="preserve">New</w:t>
            </w:r>
          </w:p>
        </w:tc>
        <w:tc>
          <w:tcPr>
            <w:tcW w:type="dxa" w:w="3060"/>
            <w:shd w:fill="F2F2F2" w:val="clear"/>
            <w:tcMar>
              <w:top w:type="dxa" w:w="70"/>
              <w:left w:type="dxa" w:w="100"/>
              <w:bottom w:type="dxa" w:w="70"/>
              <w:right w:type="dxa" w:w="100"/>
            </w:tcMar>
            <w:vAlign w:val="center"/>
          </w:tcPr>
          <w:p>
            <w:pPr>
              <w:spacing w:after="30"/>
            </w:pPr>
            <w:r>
              <w:rPr>
                <w:color w:val="2A2A2A"/>
                <w:sz w:val="17"/>
                <w:szCs w:val="17"/>
              </w:rPr>
              <w:t xml:space="preserve">Full build</w:t>
            </w:r>
          </w:p>
        </w:tc>
      </w:tr>
      <w:tr>
        <w:tc>
          <w:tcPr>
            <w:tcW w:type="dxa" w:w="3000"/>
            <w:shd w:fill="FFFFFF" w:val="clear"/>
            <w:tcMar>
              <w:top w:type="dxa" w:w="70"/>
              <w:left w:type="dxa" w:w="100"/>
              <w:bottom w:type="dxa" w:w="70"/>
              <w:right w:type="dxa" w:w="100"/>
            </w:tcMar>
            <w:vAlign w:val="center"/>
          </w:tcPr>
          <w:p>
            <w:pPr>
              <w:spacing w:after="30"/>
            </w:pPr>
            <w:r>
              <w:rPr>
                <w:color w:val="2A2A2A"/>
                <w:sz w:val="17"/>
                <w:szCs w:val="17"/>
              </w:rPr>
              <w:t xml:space="preserve">Cross-school competition &amp; leaderboards</w:t>
            </w:r>
          </w:p>
        </w:tc>
        <w:tc>
          <w:tcPr>
            <w:tcW w:type="dxa" w:w="3300"/>
            <w:shd w:fill="FFFFFF" w:val="clear"/>
            <w:tcMar>
              <w:top w:type="dxa" w:w="70"/>
              <w:left w:type="dxa" w:w="100"/>
              <w:bottom w:type="dxa" w:w="70"/>
              <w:right w:type="dxa" w:w="100"/>
            </w:tcMar>
            <w:vAlign w:val="center"/>
          </w:tcPr>
          <w:p>
            <w:pPr>
              <w:spacing w:after="30"/>
            </w:pPr>
            <w:r>
              <w:rPr>
                <w:color w:val="2A2A2A"/>
                <w:sz w:val="17"/>
                <w:szCs w:val="17"/>
              </w:rPr>
              <w:t xml:space="preserve">New, layered on existing quiz engine</w:t>
            </w:r>
          </w:p>
        </w:tc>
        <w:tc>
          <w:tcPr>
            <w:tcW w:type="dxa" w:w="3060"/>
            <w:shd w:fill="FFFFFF" w:val="clear"/>
            <w:tcMar>
              <w:top w:type="dxa" w:w="70"/>
              <w:left w:type="dxa" w:w="100"/>
              <w:bottom w:type="dxa" w:w="70"/>
              <w:right w:type="dxa" w:w="100"/>
            </w:tcMar>
            <w:vAlign w:val="center"/>
          </w:tcPr>
          <w:p>
            <w:pPr>
              <w:spacing w:after="30"/>
            </w:pPr>
            <w:r>
              <w:rPr>
                <w:color w:val="2A2A2A"/>
                <w:sz w:val="17"/>
                <w:szCs w:val="17"/>
              </w:rPr>
              <w:t xml:space="preserve">Full build</w:t>
            </w:r>
          </w:p>
        </w:tc>
      </w:tr>
    </w:tbl>
    <w:p>
      <w:pPr>
        <w:pStyle w:val="Heading1"/>
        <w:pBdr>
          <w:bottom w:val="single" w:color="C9A227" w:sz="6" w:space="4"/>
        </w:pBdr>
        <w:spacing w:after="160" w:before="420"/>
      </w:pPr>
      <w:r>
        <w:rPr>
          <w:b/>
          <w:bCs/>
          <w:color w:val="0B2545"/>
          <w:sz w:val="30"/>
          <w:szCs w:val="30"/>
        </w:rPr>
        <w:t xml:space="preserve">2. Personas</w:t>
      </w:r>
    </w:p>
    <w:tbl>
      <w:tblPr>
        <w:tblW w:type="dxa" w:w="9360"/>
        <w:tblBorders>
          <w:top w:val="single" w:color="D5DCE3" w:sz="2"/>
          <w:left w:val="single" w:color="D5DCE3" w:sz="2"/>
          <w:bottom w:val="single" w:color="D5DCE3" w:sz="2"/>
          <w:right w:val="single" w:color="D5DCE3" w:sz="2"/>
          <w:insideH w:val="single" w:color="D5DCE3" w:sz="2"/>
          <w:insideV w:val="single" w:color="D5DCE3" w:sz="2"/>
        </w:tblBorders>
      </w:tblPr>
      <w:tblGrid>
        <w:gridCol w:w="3200"/>
        <w:gridCol w:w="6160"/>
      </w:tblGrid>
      <w:tr>
        <w:trPr>
          <w:tblHeader/>
        </w:trPr>
        <w:tc>
          <w:tcPr>
            <w:tcW w:type="dxa" w:w="3200"/>
            <w:shd w:fill="0B2545" w:val="clear"/>
            <w:tcMar>
              <w:top w:type="dxa" w:w="70"/>
              <w:left w:type="dxa" w:w="100"/>
              <w:bottom w:type="dxa" w:w="70"/>
              <w:right w:type="dxa" w:w="100"/>
            </w:tcMar>
            <w:vAlign w:val="center"/>
          </w:tcPr>
          <w:p>
            <w:r>
              <w:rPr>
                <w:b/>
                <w:bCs/>
                <w:color w:val="FFFFFF"/>
                <w:sz w:val="17"/>
                <w:szCs w:val="17"/>
              </w:rPr>
              <w:t xml:space="preserve">Persona</w:t>
            </w:r>
          </w:p>
        </w:tc>
        <w:tc>
          <w:tcPr>
            <w:tcW w:type="dxa" w:w="6160"/>
            <w:shd w:fill="0B2545" w:val="clear"/>
            <w:tcMar>
              <w:top w:type="dxa" w:w="70"/>
              <w:left w:type="dxa" w:w="100"/>
              <w:bottom w:type="dxa" w:w="70"/>
              <w:right w:type="dxa" w:w="100"/>
            </w:tcMar>
            <w:vAlign w:val="center"/>
          </w:tcPr>
          <w:p>
            <w:r>
              <w:rPr>
                <w:b/>
                <w:bCs/>
                <w:color w:val="FFFFFF"/>
                <w:sz w:val="17"/>
                <w:szCs w:val="17"/>
              </w:rPr>
              <w:t xml:space="preserve">Primary need</w:t>
            </w:r>
          </w:p>
        </w:tc>
      </w:tr>
      <w:tr>
        <w:tc>
          <w:tcPr>
            <w:tcW w:type="dxa" w:w="3200"/>
            <w:shd w:fill="FFFFFF" w:val="clear"/>
            <w:tcMar>
              <w:top w:type="dxa" w:w="70"/>
              <w:left w:type="dxa" w:w="100"/>
              <w:bottom w:type="dxa" w:w="70"/>
              <w:right w:type="dxa" w:w="100"/>
            </w:tcMar>
            <w:vAlign w:val="center"/>
          </w:tcPr>
          <w:p>
            <w:pPr>
              <w:spacing w:after="30"/>
            </w:pPr>
            <w:r>
              <w:rPr>
                <w:color w:val="2A2A2A"/>
                <w:sz w:val="17"/>
                <w:szCs w:val="17"/>
              </w:rPr>
              <w:t xml:space="preserve">School Owner / Proprietor</w:t>
            </w:r>
          </w:p>
        </w:tc>
        <w:tc>
          <w:tcPr>
            <w:tcW w:type="dxa" w:w="6160"/>
            <w:shd w:fill="FFFFFF" w:val="clear"/>
            <w:tcMar>
              <w:top w:type="dxa" w:w="70"/>
              <w:left w:type="dxa" w:w="100"/>
              <w:bottom w:type="dxa" w:w="70"/>
              <w:right w:type="dxa" w:w="100"/>
            </w:tcMar>
            <w:vAlign w:val="center"/>
          </w:tcPr>
          <w:p>
            <w:pPr>
              <w:spacing w:after="30"/>
            </w:pPr>
            <w:r>
              <w:rPr>
                <w:color w:val="2A2A2A"/>
                <w:sz w:val="17"/>
                <w:szCs w:val="17"/>
              </w:rPr>
              <w:t xml:space="preserve">Set up the school once, configure fees per class/session, see collections at a glance, trust the platform enough to hand over money handling</w:t>
            </w:r>
          </w:p>
        </w:tc>
      </w:tr>
      <w:tr>
        <w:tc>
          <w:tcPr>
            <w:tcW w:type="dxa" w:w="3200"/>
            <w:shd w:fill="F2F2F2" w:val="clear"/>
            <w:tcMar>
              <w:top w:type="dxa" w:w="70"/>
              <w:left w:type="dxa" w:w="100"/>
              <w:bottom w:type="dxa" w:w="70"/>
              <w:right w:type="dxa" w:w="100"/>
            </w:tcMar>
            <w:vAlign w:val="center"/>
          </w:tcPr>
          <w:p>
            <w:pPr>
              <w:spacing w:after="30"/>
            </w:pPr>
            <w:r>
              <w:rPr>
                <w:color w:val="2A2A2A"/>
                <w:sz w:val="17"/>
                <w:szCs w:val="17"/>
              </w:rPr>
              <w:t xml:space="preserve">Bursar / School Admin</w:t>
            </w:r>
          </w:p>
        </w:tc>
        <w:tc>
          <w:tcPr>
            <w:tcW w:type="dxa" w:w="6160"/>
            <w:shd w:fill="F2F2F2" w:val="clear"/>
            <w:tcMar>
              <w:top w:type="dxa" w:w="70"/>
              <w:left w:type="dxa" w:w="100"/>
              <w:bottom w:type="dxa" w:w="70"/>
              <w:right w:type="dxa" w:w="100"/>
            </w:tcMar>
            <w:vAlign w:val="center"/>
          </w:tcPr>
          <w:p>
            <w:pPr>
              <w:spacing w:after="30"/>
            </w:pPr>
            <w:r>
              <w:rPr>
                <w:color w:val="2A2A2A"/>
                <w:sz w:val="17"/>
                <w:szCs w:val="17"/>
              </w:rPr>
              <w:t xml:space="preserve">Day-to-day operator — issue invoices, chase defaulters humanely, run the end-of-session promotion process, manage staff access</w:t>
            </w:r>
          </w:p>
        </w:tc>
      </w:tr>
      <w:tr>
        <w:tc>
          <w:tcPr>
            <w:tcW w:type="dxa" w:w="3200"/>
            <w:shd w:fill="FFFFFF" w:val="clear"/>
            <w:tcMar>
              <w:top w:type="dxa" w:w="70"/>
              <w:left w:type="dxa" w:w="100"/>
              <w:bottom w:type="dxa" w:w="70"/>
              <w:right w:type="dxa" w:w="100"/>
            </w:tcMar>
            <w:vAlign w:val="center"/>
          </w:tcPr>
          <w:p>
            <w:pPr>
              <w:spacing w:after="30"/>
            </w:pPr>
            <w:r>
              <w:rPr>
                <w:color w:val="2A2A2A"/>
                <w:sz w:val="17"/>
                <w:szCs w:val="17"/>
              </w:rPr>
              <w:t xml:space="preserve">Parent / Guardian</w:t>
            </w:r>
          </w:p>
        </w:tc>
        <w:tc>
          <w:tcPr>
            <w:tcW w:type="dxa" w:w="6160"/>
            <w:shd w:fill="FFFFFF" w:val="clear"/>
            <w:tcMar>
              <w:top w:type="dxa" w:w="70"/>
              <w:left w:type="dxa" w:w="100"/>
              <w:bottom w:type="dxa" w:w="70"/>
              <w:right w:type="dxa" w:w="100"/>
            </w:tcMar>
            <w:vAlign w:val="center"/>
          </w:tcPr>
          <w:p>
            <w:pPr>
              <w:spacing w:after="30"/>
            </w:pPr>
            <w:r>
              <w:rPr>
                <w:color w:val="2A2A2A"/>
                <w:sz w:val="17"/>
                <w:szCs w:val="17"/>
              </w:rPr>
              <w:t xml:space="preserve">Know what's owed for each child, pay conveniently (full or installment), save ahead of next term, see academic progress and competition results</w:t>
            </w:r>
          </w:p>
        </w:tc>
      </w:tr>
      <w:tr>
        <w:tc>
          <w:tcPr>
            <w:tcW w:type="dxa" w:w="3200"/>
            <w:shd w:fill="F2F2F2" w:val="clear"/>
            <w:tcMar>
              <w:top w:type="dxa" w:w="70"/>
              <w:left w:type="dxa" w:w="100"/>
              <w:bottom w:type="dxa" w:w="70"/>
              <w:right w:type="dxa" w:w="100"/>
            </w:tcMar>
            <w:vAlign w:val="center"/>
          </w:tcPr>
          <w:p>
            <w:pPr>
              <w:spacing w:after="30"/>
            </w:pPr>
            <w:r>
              <w:rPr>
                <w:color w:val="2A2A2A"/>
                <w:sz w:val="17"/>
                <w:szCs w:val="17"/>
              </w:rPr>
              <w:t xml:space="preserve">Student</w:t>
            </w:r>
          </w:p>
        </w:tc>
        <w:tc>
          <w:tcPr>
            <w:tcW w:type="dxa" w:w="6160"/>
            <w:shd w:fill="F2F2F2" w:val="clear"/>
            <w:tcMar>
              <w:top w:type="dxa" w:w="70"/>
              <w:left w:type="dxa" w:w="100"/>
              <w:bottom w:type="dxa" w:w="70"/>
              <w:right w:type="dxa" w:w="100"/>
            </w:tcMar>
            <w:vAlign w:val="center"/>
          </w:tcPr>
          <w:p>
            <w:pPr>
              <w:spacing w:after="30"/>
            </w:pPr>
            <w:r>
              <w:rPr>
                <w:color w:val="2A2A2A"/>
                <w:sz w:val="17"/>
                <w:szCs w:val="17"/>
              </w:rPr>
              <w:t xml:space="preserve">Compete, climb leaderboards, earn recognition — without ever being made to feel the weight of their family's payment status</w:t>
            </w:r>
          </w:p>
        </w:tc>
      </w:tr>
      <w:tr>
        <w:tc>
          <w:tcPr>
            <w:tcW w:type="dxa" w:w="3200"/>
            <w:shd w:fill="FFFFFF" w:val="clear"/>
            <w:tcMar>
              <w:top w:type="dxa" w:w="70"/>
              <w:left w:type="dxa" w:w="100"/>
              <w:bottom w:type="dxa" w:w="70"/>
              <w:right w:type="dxa" w:w="100"/>
            </w:tcMar>
            <w:vAlign w:val="center"/>
          </w:tcPr>
          <w:p>
            <w:pPr>
              <w:spacing w:after="30"/>
            </w:pPr>
            <w:r>
              <w:rPr>
                <w:color w:val="2A2A2A"/>
                <w:sz w:val="17"/>
                <w:szCs w:val="17"/>
              </w:rPr>
              <w:t xml:space="preserve">Class Teacher</w:t>
            </w:r>
          </w:p>
        </w:tc>
        <w:tc>
          <w:tcPr>
            <w:tcW w:type="dxa" w:w="6160"/>
            <w:shd w:fill="FFFFFF" w:val="clear"/>
            <w:tcMar>
              <w:top w:type="dxa" w:w="70"/>
              <w:left w:type="dxa" w:w="100"/>
              <w:bottom w:type="dxa" w:w="70"/>
              <w:right w:type="dxa" w:w="100"/>
            </w:tcMar>
            <w:vAlign w:val="center"/>
          </w:tcPr>
          <w:p>
            <w:pPr>
              <w:spacing w:after="30"/>
            </w:pPr>
            <w:r>
              <w:rPr>
                <w:color w:val="2A2A2A"/>
                <w:sz w:val="17"/>
                <w:szCs w:val="17"/>
              </w:rPr>
              <w:t xml:space="preserve">Enter exam scores, review promotion proposals for their class before they go to the head teacher</w:t>
            </w:r>
          </w:p>
        </w:tc>
      </w:tr>
      <w:tr>
        <w:tc>
          <w:tcPr>
            <w:tcW w:type="dxa" w:w="3200"/>
            <w:shd w:fill="F2F2F2" w:val="clear"/>
            <w:tcMar>
              <w:top w:type="dxa" w:w="70"/>
              <w:left w:type="dxa" w:w="100"/>
              <w:bottom w:type="dxa" w:w="70"/>
              <w:right w:type="dxa" w:w="100"/>
            </w:tcMar>
            <w:vAlign w:val="center"/>
          </w:tcPr>
          <w:p>
            <w:pPr>
              <w:spacing w:after="30"/>
            </w:pPr>
            <w:r>
              <w:rPr>
                <w:color w:val="2A2A2A"/>
                <w:sz w:val="17"/>
                <w:szCs w:val="17"/>
              </w:rPr>
              <w:t xml:space="preserve">Government Education Body (UBEC / SUBEB / State Ministry)</w:t>
            </w:r>
          </w:p>
        </w:tc>
        <w:tc>
          <w:tcPr>
            <w:tcW w:type="dxa" w:w="6160"/>
            <w:shd w:fill="F2F2F2" w:val="clear"/>
            <w:tcMar>
              <w:top w:type="dxa" w:w="70"/>
              <w:left w:type="dxa" w:w="100"/>
              <w:bottom w:type="dxa" w:w="70"/>
              <w:right w:type="dxa" w:w="100"/>
            </w:tcMar>
            <w:vAlign w:val="center"/>
          </w:tcPr>
          <w:p>
            <w:pPr>
              <w:spacing w:after="30"/>
            </w:pPr>
            <w:r>
              <w:rPr>
                <w:color w:val="2A2A2A"/>
                <w:sz w:val="17"/>
                <w:szCs w:val="17"/>
              </w:rPr>
              <w:t xml:space="preserve">Get accurate, timely, standardized enrollment/attendance/performance data without running a separate data-collection exercise</w:t>
            </w:r>
          </w:p>
        </w:tc>
      </w:tr>
      <w:tr>
        <w:tc>
          <w:tcPr>
            <w:tcW w:type="dxa" w:w="3200"/>
            <w:shd w:fill="FFFFFF" w:val="clear"/>
            <w:tcMar>
              <w:top w:type="dxa" w:w="70"/>
              <w:left w:type="dxa" w:w="100"/>
              <w:bottom w:type="dxa" w:w="70"/>
              <w:right w:type="dxa" w:w="100"/>
            </w:tcMar>
            <w:vAlign w:val="center"/>
          </w:tcPr>
          <w:p>
            <w:pPr>
              <w:spacing w:after="30"/>
            </w:pPr>
            <w:r>
              <w:rPr>
                <w:color w:val="2A2A2A"/>
                <w:sz w:val="17"/>
                <w:szCs w:val="17"/>
              </w:rPr>
              <w:t xml:space="preserve">Sponsor / Alumnus / CSR partner</w:t>
            </w:r>
          </w:p>
        </w:tc>
        <w:tc>
          <w:tcPr>
            <w:tcW w:type="dxa" w:w="6160"/>
            <w:shd w:fill="FFFFFF" w:val="clear"/>
            <w:tcMar>
              <w:top w:type="dxa" w:w="70"/>
              <w:left w:type="dxa" w:w="100"/>
              <w:bottom w:type="dxa" w:w="70"/>
              <w:right w:type="dxa" w:w="100"/>
            </w:tcMar>
            <w:vAlign w:val="center"/>
          </w:tcPr>
          <w:p>
            <w:pPr>
              <w:spacing w:after="30"/>
            </w:pPr>
            <w:r>
              <w:rPr>
                <w:color w:val="2A2A2A"/>
                <w:sz w:val="17"/>
                <w:szCs w:val="17"/>
              </w:rPr>
              <w:t xml:space="preserve">Fund a specific student's fees or a school's competition prize pool with full transparency on where the money goes</w:t>
            </w:r>
          </w:p>
        </w:tc>
      </w:tr>
    </w:tbl>
    <w:p>
      <w:pPr>
        <w:pStyle w:val="Heading1"/>
        <w:pBdr>
          <w:bottom w:val="single" w:color="C9A227" w:sz="6" w:space="4"/>
        </w:pBdr>
        <w:spacing w:after="160" w:before="420"/>
      </w:pPr>
      <w:r>
        <w:rPr>
          <w:b/>
          <w:bCs/>
          <w:color w:val="0B2545"/>
          <w:sz w:val="30"/>
          <w:szCs w:val="30"/>
        </w:rPr>
        <w:t xml:space="preserve">3. Core Feature Set</w:t>
      </w:r>
    </w:p>
    <w:p>
      <w:pPr>
        <w:pStyle w:val="Heading2"/>
        <w:spacing w:after="120" w:before="280"/>
      </w:pPr>
      <w:r>
        <w:rPr>
          <w:b/>
          <w:bCs/>
          <w:color w:val="13315C"/>
          <w:sz w:val="25"/>
          <w:szCs w:val="25"/>
        </w:rPr>
        <w:t xml:space="preserve">3.1 School Onboarding &amp; Configuration</w:t>
      </w:r>
    </w:p>
    <w:p>
      <w:pPr>
        <w:pStyle w:val="ListParagraph"/>
        <w:numPr>
          <w:ilvl w:val="0"/>
          <w:numId w:val="1"/>
        </w:numPr>
        <w:spacing w:after="80" w:line="280"/>
      </w:pPr>
      <w:r>
        <w:rPr>
          <w:color w:val="1A1A1A"/>
          <w:sz w:val="21"/>
          <w:szCs w:val="21"/>
        </w:rPr>
        <w:t xml:space="preserve">Guided setup wizard: school level (nursery/primary/JSS/SSS/combination), academic calendar (3-term vs. semester), classes per level, and grading/pass-mark policy.</w:t>
      </w:r>
    </w:p>
    <w:p>
      <w:pPr>
        <w:pStyle w:val="ListParagraph"/>
        <w:numPr>
          <w:ilvl w:val="0"/>
          <w:numId w:val="1"/>
        </w:numPr>
        <w:spacing w:after="80" w:line="280"/>
      </w:pPr>
      <w:r>
        <w:rPr>
          <w:color w:val="1A1A1A"/>
          <w:sz w:val="21"/>
          <w:szCs w:val="21"/>
        </w:rPr>
        <w:t xml:space="preserve">Verification tier: schools self-register at a basic tier for pilot use; a verified tier (CAC registration, physical address confirmation, reference checks) unlocks escrow custody, government reporting sync, and cross-school competition eligibility — mirroring the KYC-tiering pattern already used elsewhere in Paymax.</w:t>
      </w:r>
    </w:p>
    <w:p>
      <w:pPr>
        <w:pStyle w:val="ListParagraph"/>
        <w:numPr>
          <w:ilvl w:val="0"/>
          <w:numId w:val="1"/>
        </w:numPr>
        <w:spacing w:after="80" w:line="280"/>
      </w:pPr>
      <w:r>
        <w:rPr>
          <w:color w:val="1A1A1A"/>
          <w:sz w:val="21"/>
          <w:szCs w:val="21"/>
        </w:rPr>
        <w:t xml:space="preserve">Multi-campus support for school groups operating under one proprietor with shared branding but independent fee schedules and rosters.</w:t>
      </w:r>
    </w:p>
    <w:p>
      <w:pPr>
        <w:pStyle w:val="Heading2"/>
        <w:spacing w:after="120" w:before="280"/>
      </w:pPr>
      <w:r>
        <w:rPr>
          <w:b/>
          <w:bCs/>
          <w:color w:val="13315C"/>
          <w:sz w:val="25"/>
          <w:szCs w:val="25"/>
        </w:rPr>
        <w:t xml:space="preserve">3.2 Student &amp; Parent Onboarding and Linking</w:t>
      </w:r>
    </w:p>
    <w:p>
      <w:pPr>
        <w:pStyle w:val="ListParagraph"/>
        <w:numPr>
          <w:ilvl w:val="0"/>
          <w:numId w:val="1"/>
        </w:numPr>
        <w:spacing w:after="80" w:line="280"/>
      </w:pPr>
      <w:r>
        <w:rPr>
          <w:color w:val="1A1A1A"/>
          <w:sz w:val="21"/>
          <w:szCs w:val="21"/>
        </w:rPr>
        <w:t xml:space="preserve">Bulk import via CSV for existing rosters, plus a self-registration flow where a school issues a class-specific invite code and parents register directly, subject to admin approval.</w:t>
      </w:r>
    </w:p>
    <w:p>
      <w:pPr>
        <w:pStyle w:val="ListParagraph"/>
        <w:numPr>
          <w:ilvl w:val="0"/>
          <w:numId w:val="1"/>
        </w:numPr>
        <w:spacing w:after="80" w:line="280"/>
      </w:pPr>
      <w:r>
        <w:rPr>
          <w:color w:val="1A1A1A"/>
          <w:sz w:val="21"/>
          <w:szCs w:val="21"/>
        </w:rPr>
        <w:t xml:space="preserve">A student record can have multiple linked guardians (e.g. both parents, or parent + sponsor) with configurable payment-responsibility splits.</w:t>
      </w:r>
    </w:p>
    <w:p>
      <w:pPr>
        <w:pStyle w:val="ListParagraph"/>
        <w:numPr>
          <w:ilvl w:val="0"/>
          <w:numId w:val="1"/>
        </w:numPr>
        <w:spacing w:after="80" w:line="280"/>
      </w:pPr>
      <w:r>
        <w:rPr>
          <w:color w:val="1A1A1A"/>
          <w:sz w:val="21"/>
          <w:szCs w:val="21"/>
        </w:rPr>
        <w:t xml:space="preserve">A single parent identity spans every child and every school on the platform — the same person paying for three children in two different schools sees one consolidated dashboard, not three disconnected logins.</w:t>
      </w:r>
    </w:p>
    <w:p>
      <w:pPr>
        <w:pStyle w:val="Heading2"/>
        <w:spacing w:after="120" w:before="280"/>
      </w:pPr>
      <w:r>
        <w:rPr>
          <w:b/>
          <w:bCs/>
          <w:color w:val="13315C"/>
          <w:sz w:val="25"/>
          <w:szCs w:val="25"/>
        </w:rPr>
        <w:t xml:space="preserve">3.3 Fee Structure &amp; Payment Plans</w:t>
      </w:r>
    </w:p>
    <w:p>
      <w:pPr>
        <w:pStyle w:val="ListParagraph"/>
        <w:numPr>
          <w:ilvl w:val="0"/>
          <w:numId w:val="1"/>
        </w:numPr>
        <w:spacing w:after="80" w:line="280"/>
      </w:pPr>
      <w:r>
        <w:rPr>
          <w:color w:val="1A1A1A"/>
          <w:sz w:val="21"/>
          <w:szCs w:val="21"/>
        </w:rPr>
        <w:t xml:space="preserve">Itemized fee schedules per class, per session, per term — tuition, PTA levy, feeding, transport, uniform, exam fee — each tagged mandatory or optional, matching how Nigerian schools actually itemize fees rather than forcing a single lump sum.</w:t>
      </w:r>
    </w:p>
    <w:p>
      <w:pPr>
        <w:pStyle w:val="ListParagraph"/>
        <w:numPr>
          <w:ilvl w:val="0"/>
          <w:numId w:val="1"/>
        </w:numPr>
        <w:spacing w:after="80" w:line="280"/>
      </w:pPr>
      <w:r>
        <w:rPr>
          <w:color w:val="1A1A1A"/>
          <w:sz w:val="21"/>
          <w:szCs w:val="21"/>
        </w:rPr>
        <w:t xml:space="preserve">Installment plans with a transparent, disclosed premium (industry convention runs 5–10% for the convenience of spreading payment) — full terms shown before the first payment, never repriced mid-plan.</w:t>
      </w:r>
    </w:p>
    <w:p>
      <w:pPr>
        <w:pStyle w:val="ListParagraph"/>
        <w:numPr>
          <w:ilvl w:val="0"/>
          <w:numId w:val="1"/>
        </w:numPr>
        <w:spacing w:after="80" w:line="280"/>
      </w:pPr>
      <w:r>
        <w:rPr>
          <w:color w:val="1A1A1A"/>
          <w:sz w:val="21"/>
          <w:szCs w:val="21"/>
        </w:rPr>
        <w:t xml:space="preserve">Sibling and early-payment discounts computed automatically at invoice time.</w:t>
      </w:r>
    </w:p>
    <w:p>
      <w:pPr>
        <w:pStyle w:val="ListParagraph"/>
        <w:numPr>
          <w:ilvl w:val="0"/>
          <w:numId w:val="1"/>
        </w:numPr>
        <w:spacing w:after="80" w:line="280"/>
      </w:pPr>
      <w:r>
        <w:rPr>
          <w:color w:val="1A1A1A"/>
          <w:sz w:val="21"/>
          <w:szCs w:val="21"/>
        </w:rPr>
        <w:t xml:space="preserve">Scholarship/bursary flags that zero out or partially waive an invoice, fully auditable, requiring admin sign-off — never silently applied.</w:t>
      </w:r>
    </w:p>
    <w:p>
      <w:pPr>
        <w:pStyle w:val="Heading2"/>
        <w:spacing w:after="120" w:before="280"/>
      </w:pPr>
      <w:r>
        <w:rPr>
          <w:b/>
          <w:bCs/>
          <w:color w:val="13315C"/>
          <w:sz w:val="25"/>
          <w:szCs w:val="25"/>
        </w:rPr>
        <w:t xml:space="preserve">3.4 Fees Vault — Escrow Savings, Ahead of the Bill</w:t>
      </w:r>
    </w:p>
    <w:p>
      <w:pPr>
        <w:spacing w:after="160" w:line="300"/>
      </w:pPr>
      <w:r>
        <w:rPr>
          <w:b w:val="false"/>
          <w:bCs w:val="false"/>
          <w:i w:val="false"/>
          <w:iCs w:val="false"/>
          <w:color w:val="1A1A1A"/>
          <w:sz w:val="21"/>
          <w:szCs w:val="21"/>
        </w:rPr>
        <w:t xml:space="preserve">Modeled on the Cowrywise Study Plan pattern parents already trust, but school-fee-aware: the Vault knows what the next invoice will actually be, not just a generic savings goal.</w:t>
      </w:r>
    </w:p>
    <w:p>
      <w:pPr>
        <w:pStyle w:val="ListParagraph"/>
        <w:numPr>
          <w:ilvl w:val="0"/>
          <w:numId w:val="1"/>
        </w:numPr>
        <w:spacing w:after="80" w:line="280"/>
      </w:pPr>
      <w:r>
        <w:rPr>
          <w:color w:val="1A1A1A"/>
          <w:sz w:val="21"/>
          <w:szCs w:val="21"/>
        </w:rPr>
        <w:t xml:space="preserve">Parents open a Vault per child (or a family Vault spanning multiple children), set a target tied to the next term's projected fee, and contribute on a schedule or via round-up of everyday wallet spend.</w:t>
      </w:r>
    </w:p>
    <w:p>
      <w:pPr>
        <w:pStyle w:val="ListParagraph"/>
        <w:numPr>
          <w:ilvl w:val="0"/>
          <w:numId w:val="1"/>
        </w:numPr>
        <w:spacing w:after="80" w:line="280"/>
      </w:pPr>
      <w:r>
        <w:rPr>
          <w:color w:val="1A1A1A"/>
          <w:sz w:val="21"/>
          <w:szCs w:val="21"/>
        </w:rPr>
        <w:t xml:space="preserve">Vault funds sit in a segregated, purpose-tagged ledger sub-account under Paymax's existing wallet-holding license — never commingled with general float.</w:t>
      </w:r>
    </w:p>
    <w:p>
      <w:pPr>
        <w:pStyle w:val="ListParagraph"/>
        <w:numPr>
          <w:ilvl w:val="0"/>
          <w:numId w:val="1"/>
        </w:numPr>
        <w:spacing w:after="80" w:line="280"/>
      </w:pPr>
      <w:r>
        <w:rPr>
          <w:color w:val="1A1A1A"/>
          <w:sz w:val="21"/>
          <w:szCs w:val="21"/>
        </w:rPr>
        <w:t xml:space="preserve">At term-start, the parent can apply the Vault balance directly to the new invoice in one action, or withdraw it if plans change.</w:t>
      </w:r>
    </w:p>
    <w:p>
      <w:pPr>
        <w:pStyle w:val="ListParagraph"/>
        <w:numPr>
          <w:ilvl w:val="0"/>
          <w:numId w:val="1"/>
        </w:numPr>
        <w:spacing w:after="80" w:line="280"/>
      </w:pPr>
      <w:r>
        <w:rPr>
          <w:color w:val="1A1A1A"/>
          <w:sz w:val="21"/>
          <w:szCs w:val="21"/>
        </w:rPr>
        <w:t xml:space="preserve">Optional interest accrual on locked Vault balances, consistent with the savings-app category parents already recognize and trust.</w:t>
      </w:r>
    </w:p>
    <w:p>
      <w:pPr>
        <w:pStyle w:val="Heading2"/>
        <w:spacing w:after="120" w:before="280"/>
      </w:pPr>
      <w:r>
        <w:rPr>
          <w:b/>
          <w:bCs/>
          <w:color w:val="13315C"/>
          <w:sz w:val="25"/>
          <w:szCs w:val="25"/>
        </w:rPr>
        <w:t xml:space="preserve">3.5 Payment Collection, Reconciliation &amp; Receipts</w:t>
      </w:r>
    </w:p>
    <w:p>
      <w:pPr>
        <w:pStyle w:val="ListParagraph"/>
        <w:numPr>
          <w:ilvl w:val="0"/>
          <w:numId w:val="1"/>
        </w:numPr>
        <w:spacing w:after="80" w:line="280"/>
      </w:pPr>
      <w:r>
        <w:rPr>
          <w:color w:val="1A1A1A"/>
          <w:sz w:val="21"/>
          <w:szCs w:val="21"/>
        </w:rPr>
        <w:t xml:space="preserve">Every payment reuses Paymax's existing provider-agnostic payment gateway — card, bank transfer, USSD, wallet balance — with instant digital receipts and real-time balance updates to both parent and school.</w:t>
      </w:r>
    </w:p>
    <w:p>
      <w:pPr>
        <w:pStyle w:val="ListParagraph"/>
        <w:numPr>
          <w:ilvl w:val="0"/>
          <w:numId w:val="1"/>
        </w:numPr>
        <w:spacing w:after="80" w:line="280"/>
      </w:pPr>
      <w:r>
        <w:rPr>
          <w:color w:val="1A1A1A"/>
          <w:sz w:val="21"/>
          <w:szCs w:val="21"/>
        </w:rPr>
        <w:t xml:space="preserve">Nightly reconciliation against provider webhooks, matching the reconciliation discipline already standard across Paymax's other money-movement modules.</w:t>
      </w:r>
    </w:p>
    <w:p>
      <w:pPr>
        <w:pStyle w:val="Heading2"/>
        <w:spacing w:after="120" w:before="280"/>
      </w:pPr>
      <w:r>
        <w:rPr>
          <w:b/>
          <w:bCs/>
          <w:color w:val="13315C"/>
          <w:sz w:val="25"/>
          <w:szCs w:val="25"/>
        </w:rPr>
        <w:t xml:space="preserve">3.6 Auto-Promotion Engine</w:t>
      </w:r>
    </w:p>
    <w:p>
      <w:pPr>
        <w:spacing w:after="160" w:line="300"/>
      </w:pPr>
      <w:r>
        <w:rPr>
          <w:b w:val="false"/>
          <w:bCs w:val="false"/>
          <w:i w:val="false"/>
          <w:iCs w:val="false"/>
          <w:color w:val="1A1A1A"/>
          <w:sz w:val="21"/>
          <w:szCs w:val="21"/>
        </w:rPr>
        <w:t xml:space="preserve">Automates the mechanics of end-of-session promotion without removing the human judgment call that a real school promotion decision deserves.</w:t>
      </w:r>
    </w:p>
    <w:p>
      <w:pPr>
        <w:pStyle w:val="ListParagraph"/>
        <w:numPr>
          <w:ilvl w:val="0"/>
          <w:numId w:val="1"/>
        </w:numPr>
        <w:spacing w:after="80" w:line="280"/>
      </w:pPr>
      <w:r>
        <w:rPr>
          <w:color w:val="1A1A1A"/>
          <w:sz w:val="21"/>
          <w:szCs w:val="21"/>
        </w:rPr>
        <w:t xml:space="preserve">Teachers enter or import term/session exam scores; the engine computes a promotion recommendation against each school's own configurable pass-mark and aggregate-score policy — schools are not forced into one national standard.</w:t>
      </w:r>
    </w:p>
    <w:p>
      <w:pPr>
        <w:pStyle w:val="ListParagraph"/>
        <w:numPr>
          <w:ilvl w:val="0"/>
          <w:numId w:val="1"/>
        </w:numPr>
        <w:spacing w:after="80" w:line="280"/>
      </w:pPr>
      <w:r>
        <w:rPr>
          <w:color w:val="1A1A1A"/>
          <w:sz w:val="21"/>
          <w:szCs w:val="21"/>
        </w:rPr>
        <w:t xml:space="preserve">The recommendation (promote / repeat / conditional-promote-on-probation) is a proposal, not a decision — a class teacher and head teacher/admin must review and approve before any student's class assignment actually changes.</w:t>
      </w:r>
    </w:p>
    <w:p>
      <w:pPr>
        <w:pStyle w:val="ListParagraph"/>
        <w:numPr>
          <w:ilvl w:val="0"/>
          <w:numId w:val="1"/>
        </w:numPr>
        <w:spacing w:after="80" w:line="280"/>
      </w:pPr>
      <w:r>
        <w:rPr>
          <w:color w:val="1A1A1A"/>
          <w:sz w:val="21"/>
          <w:szCs w:val="21"/>
        </w:rPr>
        <w:t xml:space="preserve">On approval, the platform handles the mechanical rollover: student moves from the outgoing class to the correct incoming class for the new session, fee schedule updates automatically to the new class's rates, and historical records stay attached to the student, not the class.</w:t>
      </w:r>
    </w:p>
    <w:p>
      <w:pPr>
        <w:pStyle w:val="Heading2"/>
        <w:spacing w:after="120" w:before="280"/>
      </w:pPr>
      <w:r>
        <w:rPr>
          <w:b/>
          <w:bCs/>
          <w:color w:val="13315C"/>
          <w:sz w:val="25"/>
          <w:szCs w:val="25"/>
        </w:rPr>
        <w:t xml:space="preserve">3.7 Gamification &amp; Curriculum-Based Assessment (reused from Spotlight Academy)</w:t>
      </w:r>
    </w:p>
    <w:p>
      <w:pPr>
        <w:spacing w:after="160" w:line="300"/>
      </w:pPr>
      <w:r>
        <w:rPr>
          <w:b w:val="false"/>
          <w:bCs w:val="false"/>
          <w:i w:val="false"/>
          <w:iCs w:val="false"/>
          <w:color w:val="1A1A1A"/>
          <w:sz w:val="21"/>
          <w:szCs w:val="21"/>
        </w:rPr>
        <w:t xml:space="preserve">This module does not rebuild the quiz engine, question bank, or NERDC curriculum mapping — it consumes what Spotlight Academy already specifies (Primary 1 through SSS3, aligned to the September 2025 NERDC curriculum) and adds school-context and competition scope on top.</w:t>
      </w:r>
    </w:p>
    <w:p>
      <w:pPr>
        <w:pStyle w:val="ListParagraph"/>
        <w:numPr>
          <w:ilvl w:val="0"/>
          <w:numId w:val="1"/>
        </w:numPr>
        <w:spacing w:after="80" w:line="280"/>
      </w:pPr>
      <w:r>
        <w:rPr>
          <w:color w:val="1A1A1A"/>
          <w:sz w:val="21"/>
          <w:szCs w:val="21"/>
        </w:rPr>
        <w:t xml:space="preserve">Every quiz and curriculum-based assessment a student takes is automatically scoped to their real class, school, and subject — no separate content setup per school.</w:t>
      </w:r>
    </w:p>
    <w:p>
      <w:pPr>
        <w:pStyle w:val="ListParagraph"/>
        <w:numPr>
          <w:ilvl w:val="0"/>
          <w:numId w:val="1"/>
        </w:numPr>
        <w:spacing w:after="80" w:line="280"/>
      </w:pPr>
      <w:r>
        <w:rPr>
          <w:color w:val="1A1A1A"/>
          <w:sz w:val="21"/>
          <w:szCs w:val="21"/>
        </w:rPr>
        <w:t xml:space="preserve">Individual leaderboards (class, school) already exist in Academy; this module adds the cross-school layer described next.</w:t>
      </w:r>
    </w:p>
    <w:p>
      <w:pPr>
        <w:pStyle w:val="Heading2"/>
        <w:spacing w:after="120" w:before="280"/>
      </w:pPr>
      <w:r>
        <w:rPr>
          <w:b/>
          <w:bCs/>
          <w:color w:val="13315C"/>
          <w:sz w:val="25"/>
          <w:szCs w:val="25"/>
        </w:rPr>
        <w:t xml:space="preserve">3.8 Cross-School Competition</w:t>
      </w:r>
    </w:p>
    <w:p>
      <w:pPr>
        <w:pStyle w:val="ListParagraph"/>
        <w:numPr>
          <w:ilvl w:val="0"/>
          <w:numId w:val="1"/>
        </w:numPr>
        <w:spacing w:after="80" w:line="280"/>
      </w:pPr>
      <w:r>
        <w:rPr>
          <w:color w:val="1A1A1A"/>
          <w:sz w:val="21"/>
          <w:szCs w:val="21"/>
        </w:rPr>
        <w:t xml:space="preserve">Inter-school leaderboards by subject, class level, city, state, and eventually national scope — a student or a study group can see exactly where they rank against peers outside their own school walls.</w:t>
      </w:r>
    </w:p>
    <w:p>
      <w:pPr>
        <w:pStyle w:val="ListParagraph"/>
        <w:numPr>
          <w:ilvl w:val="0"/>
          <w:numId w:val="1"/>
        </w:numPr>
        <w:spacing w:after="80" w:line="280"/>
      </w:pPr>
      <w:r>
        <w:rPr>
          <w:color w:val="1A1A1A"/>
          <w:sz w:val="21"/>
          <w:szCs w:val="21"/>
        </w:rPr>
        <w:t xml:space="preserve">Structured tournaments: scheduled, bracketed competitions between registered schools, subject-specific or all-round, with defined start/end windows — this is the same competitive format logic already proven in Spotlight Talent Hunt, applied to academics instead of performance talent.</w:t>
      </w:r>
    </w:p>
    <w:p>
      <w:pPr>
        <w:pStyle w:val="ListParagraph"/>
        <w:numPr>
          <w:ilvl w:val="0"/>
          <w:numId w:val="1"/>
        </w:numPr>
        <w:spacing w:after="80" w:line="280"/>
      </w:pPr>
      <w:r>
        <w:rPr>
          <w:color w:val="1A1A1A"/>
          <w:sz w:val="21"/>
          <w:szCs w:val="21"/>
        </w:rPr>
        <w:t xml:space="preserve">"Challenge" mode: a student or small group can issue a head-to-head quiz duel to a specific student or group at another school.</w:t>
      </w:r>
    </w:p>
    <w:p>
      <w:pPr>
        <w:pStyle w:val="ListParagraph"/>
        <w:numPr>
          <w:ilvl w:val="0"/>
          <w:numId w:val="1"/>
        </w:numPr>
        <w:spacing w:after="80" w:line="280"/>
      </w:pPr>
      <w:r>
        <w:rPr>
          <w:color w:val="1A1A1A"/>
          <w:sz w:val="21"/>
          <w:szCs w:val="21"/>
        </w:rPr>
        <w:t xml:space="preserve">House/Cup structure: schools can organize internal houses that also carry into inter-school house-vs-house scoring, giving small schools a way to compete meaningfully even against larger ones.</w:t>
      </w:r>
    </w:p>
    <w:p>
      <w:pPr>
        <w:pStyle w:val="Heading2"/>
        <w:spacing w:after="120" w:before="280"/>
      </w:pPr>
      <w:r>
        <w:rPr>
          <w:b/>
          <w:bCs/>
          <w:color w:val="13315C"/>
          <w:sz w:val="25"/>
          <w:szCs w:val="25"/>
        </w:rPr>
        <w:t xml:space="preserve">3.9 Government &amp; Regulator Reporting</w:t>
      </w:r>
    </w:p>
    <w:p>
      <w:pPr>
        <w:spacing w:after="160" w:line="300"/>
      </w:pPr>
      <w:r>
        <w:rPr>
          <w:b w:val="false"/>
          <w:bCs w:val="false"/>
          <w:i w:val="false"/>
          <w:iCs w:val="false"/>
          <w:color w:val="1A1A1A"/>
          <w:sz w:val="21"/>
          <w:szCs w:val="21"/>
        </w:rPr>
        <w:t xml:space="preserve">UBEC and State Universal Basic Education Boards already run their own data infrastructure (BESDA Attendance Management, the National Personnel Audit, periodic National Learning Assessments covering Primary 3/5, JSS2, and SSS2). Rather than inventing a new reporting format, this module's exports map onto categories UBEC already collects — enrollment counts, attendance, subject-level performance distributions — so a school opting in produces something UBEC can actually use, not another PDF nobody reads.</w:t>
      </w:r>
    </w:p>
    <w:p>
      <w:pPr>
        <w:pStyle w:val="ListParagraph"/>
        <w:numPr>
          <w:ilvl w:val="0"/>
          <w:numId w:val="1"/>
        </w:numPr>
        <w:spacing w:after="80" w:line="280"/>
      </w:pPr>
      <w:r>
        <w:rPr>
          <w:color w:val="1A1A1A"/>
          <w:sz w:val="21"/>
          <w:szCs w:val="21"/>
        </w:rPr>
        <w:t xml:space="preserve">Strictly opt-in, per school — a proprietor decides whether and what syncs to a government-facing dashboard. Nothing is harvested by default.</w:t>
      </w:r>
    </w:p>
    <w:p>
      <w:pPr>
        <w:pStyle w:val="ListParagraph"/>
        <w:numPr>
          <w:ilvl w:val="0"/>
          <w:numId w:val="1"/>
        </w:numPr>
        <w:spacing w:after="80" w:line="280"/>
      </w:pPr>
      <w:r>
        <w:rPr>
          <w:color w:val="1A1A1A"/>
          <w:sz w:val="21"/>
          <w:szCs w:val="21"/>
        </w:rPr>
        <w:t xml:space="preserve">Aggregated and anonymized by default at the reporting layer; individual student financial data is never included in any government export — only enrollment, attendance, and academic-performance aggregates.</w:t>
      </w:r>
    </w:p>
    <w:p>
      <w:pPr>
        <w:pStyle w:val="Heading2"/>
        <w:spacing w:after="120" w:before="280"/>
      </w:pPr>
      <w:r>
        <w:rPr>
          <w:b/>
          <w:bCs/>
          <w:color w:val="13315C"/>
          <w:sz w:val="25"/>
          <w:szCs w:val="25"/>
        </w:rPr>
        <w:t xml:space="preserve">3.10 Think Outside the Box — Novel Value-Add Features</w:t>
      </w:r>
    </w:p>
    <w:p>
      <w:pPr>
        <w:pStyle w:val="ListParagraph"/>
        <w:numPr>
          <w:ilvl w:val="0"/>
          <w:numId w:val="1"/>
        </w:numPr>
        <w:spacing w:after="80" w:line="280"/>
      </w:pPr>
      <w:r>
        <w:rPr>
          <w:color w:val="1A1A1A"/>
          <w:sz w:val="21"/>
          <w:szCs w:val="21"/>
        </w:rPr>
        <w:t xml:space="preserve">Spotlight Schools Cup — an annual, televised inter-school academic championship on Spotlight's existing NTA broadcast inventory, the direct academic-category sibling of Spotlight Talent Hunt and the already-scoped Spotlight STEM Challenge. Regional qualifiers feed a national finale; sponsorship categories (edtech, telcos' education arms, banks' CSR budgets) mirror the STEM Challenge model almost exactly.</w:t>
      </w:r>
    </w:p>
    <w:p>
      <w:pPr>
        <w:pStyle w:val="ListParagraph"/>
        <w:numPr>
          <w:ilvl w:val="0"/>
          <w:numId w:val="1"/>
        </w:numPr>
        <w:spacing w:after="80" w:line="280"/>
      </w:pPr>
      <w:r>
        <w:rPr>
          <w:color w:val="1A1A1A"/>
          <w:sz w:val="21"/>
          <w:szCs w:val="21"/>
        </w:rPr>
        <w:t xml:space="preserve">Sponsor-a-Student — a transparent micro-donation marketplace where alumni, CSR partners, or even other parents can fund a specific high-performing, low-income student's fees directly, with the donor seeing exactly which invoice their money cleared. Reuses Paymax's existing social-payments and wallet-to-wallet infrastructure.</w:t>
      </w:r>
    </w:p>
    <w:p>
      <w:pPr>
        <w:pStyle w:val="ListParagraph"/>
        <w:numPr>
          <w:ilvl w:val="0"/>
          <w:numId w:val="1"/>
        </w:numPr>
        <w:spacing w:after="80" w:line="280"/>
      </w:pPr>
      <w:r>
        <w:rPr>
          <w:color w:val="1A1A1A"/>
          <w:sz w:val="21"/>
          <w:szCs w:val="21"/>
        </w:rPr>
        <w:t xml:space="preserve">School Trust Score — a public, opt-in reliability profile per school (on-time fee reconciliation, WAEC/NECO/BECE outcomes where disclosed, verified-tier status, parent satisfaction signals) — genuinely useful to parents choosing a school, and a credibility asset for schools that earn a strong one.</w:t>
      </w:r>
    </w:p>
    <w:p>
      <w:pPr>
        <w:pStyle w:val="ListParagraph"/>
        <w:numPr>
          <w:ilvl w:val="0"/>
          <w:numId w:val="1"/>
        </w:numPr>
        <w:spacing w:after="80" w:line="280"/>
      </w:pPr>
      <w:r>
        <w:rPr>
          <w:color w:val="1A1A1A"/>
          <w:sz w:val="21"/>
          <w:szCs w:val="21"/>
        </w:rPr>
        <w:t xml:space="preserve">Digital badges &amp; shareable certificates for quiz and tournament achievements — low-cost, high-virality social proof parents naturally share, functioning as organic distribution the same way a trophy photo does today, just digital and instant.</w:t>
      </w:r>
    </w:p>
    <w:p>
      <w:pPr>
        <w:pStyle w:val="ListParagraph"/>
        <w:numPr>
          <w:ilvl w:val="0"/>
          <w:numId w:val="1"/>
        </w:numPr>
        <w:spacing w:after="80" w:line="280"/>
      </w:pPr>
      <w:r>
        <w:rPr>
          <w:color w:val="1A1A1A"/>
          <w:sz w:val="21"/>
          <w:szCs w:val="21"/>
        </w:rPr>
        <w:t xml:space="preserve">Early-warning correlation alerts — when a student's academic performance drops alongside a fee-payment lapse, the system raises a private, non-punitive flag to the school counselor/admin only, never to the student and never auto-actioned. The combination of academic and payment signal in one platform is something no incumbent (EDVES, SchoolHub) can currently do, because none of them run the fintech side.</w:t>
      </w:r>
    </w:p>
    <w:p>
      <w:pPr>
        <w:pStyle w:val="ListParagraph"/>
        <w:numPr>
          <w:ilvl w:val="0"/>
          <w:numId w:val="1"/>
        </w:numPr>
        <w:spacing w:after="80" w:line="280"/>
      </w:pPr>
      <w:r>
        <w:rPr>
          <w:color w:val="1A1A1A"/>
          <w:sz w:val="21"/>
          <w:szCs w:val="21"/>
        </w:rPr>
        <w:t xml:space="preserve">Trade-subject skill badges — NERDC's new mandatory trade/vocational subjects (solar PV installation, fashion/garment making, computer repair, and others) get their own competency badges, tying directly into Spotlight Academy's existing learn-to-earn thesis: these are skills with real income value, not just another exam subject.</w:t>
      </w:r>
    </w:p>
    <w:p>
      <w:pPr>
        <w:pStyle w:val="ListParagraph"/>
        <w:numPr>
          <w:ilvl w:val="0"/>
          <w:numId w:val="1"/>
        </w:numPr>
        <w:spacing w:after="80" w:line="280"/>
      </w:pPr>
      <w:r>
        <w:rPr>
          <w:color w:val="1A1A1A"/>
          <w:sz w:val="21"/>
          <w:szCs w:val="21"/>
        </w:rPr>
        <w:t xml:space="preserve">Governor's Shield / State Cup tier — state-branded competition tiers that give state governments and SUBEBs a low-cost way to put their name behind a visible academic-excellence programme, opening a state-government sponsorship and partnership channel alongside the federal-level NASENI/ONSA/NDLEA relationships already in motion.</w:t>
      </w:r>
    </w:p>
    <w:p>
      <w:pPr>
        <w:pStyle w:val="ListParagraph"/>
        <w:numPr>
          <w:ilvl w:val="0"/>
          <w:numId w:val="1"/>
        </w:numPr>
        <w:spacing w:after="80" w:line="280"/>
      </w:pPr>
      <w:r>
        <w:rPr>
          <w:color w:val="1A1A1A"/>
          <w:sz w:val="21"/>
          <w:szCs w:val="21"/>
        </w:rPr>
        <w:t xml:space="preserve">Multi-child, multi-school family view with bulk-pay — a parent with children at three different schools pays all three invoices in one flow instead of three separate logins, a genuinely differentiated convenience nothing in the current market offers.</w:t>
      </w:r>
    </w:p>
    <w:p>
      <w:pPr>
        <w:pStyle w:val="ListParagraph"/>
        <w:numPr>
          <w:ilvl w:val="0"/>
          <w:numId w:val="1"/>
        </w:numPr>
        <w:spacing w:after="80" w:line="280"/>
      </w:pPr>
      <w:r>
        <w:rPr>
          <w:color w:val="1A1A1A"/>
          <w:sz w:val="21"/>
          <w:szCs w:val="21"/>
        </w:rPr>
        <w:t xml:space="preserve">Marketplace cross-sell — schools list uniforms, books, and approved supplies through Paymax's existing Marketplace module, with parents able to buy directly against their child's class-specific requirements list.</w:t>
      </w:r>
    </w:p>
    <w:p>
      <w:pPr>
        <w:pBdr>
          <w:top w:val="none" w:color="FFFFFF" w:sz="0"/>
          <w:bottom w:val="none" w:color="FFFFFF" w:sz="0"/>
          <w:left w:val="single" w:color="C9A227" w:sz="24" w:space="8"/>
          <w:right w:val="none" w:color="FFFFFF" w:sz="0"/>
        </w:pBdr>
        <w:shd w:fill="FBF3D9" w:val="clear"/>
        <w:spacing w:after="200" w:before="120"/>
      </w:pPr>
      <w:r>
        <w:rPr>
          <w:b/>
          <w:bCs/>
          <w:color w:val="0B2545"/>
          <w:sz w:val="21"/>
          <w:szCs w:val="21"/>
        </w:rPr>
        <w:t xml:space="preserve">Regulatory flag worth locking in now: installment payment must be structured as the parent paying the school down over time (pure receivables, no license required), not as Paymax fronting the school its fees upfront and collecting from the parent later (which is receivables factoring — a lending-adjacent activity requiring separate licensing, and the same category of scrutiny currently surrounding the FCCPC/NCC airtime-credit dispute). Keep Model A only at launch.</w:t>
      </w:r>
    </w:p>
    <w:p>
      <w:pPr>
        <w:pStyle w:val="Heading1"/>
        <w:pBdr>
          <w:bottom w:val="single" w:color="C9A227" w:sz="6" w:space="4"/>
        </w:pBdr>
        <w:spacing w:after="160" w:before="420"/>
      </w:pPr>
      <w:r>
        <w:rPr>
          <w:b/>
          <w:bCs/>
          <w:color w:val="0B2545"/>
          <w:sz w:val="30"/>
          <w:szCs w:val="30"/>
        </w:rPr>
        <w:t xml:space="preserve">4. Data Model</w:t>
      </w:r>
    </w:p>
    <w:tbl>
      <w:tblPr>
        <w:tblW w:type="dxa" w:w="9360"/>
        <w:tblBorders>
          <w:top w:val="single" w:color="D5DCE3" w:sz="2"/>
          <w:left w:val="single" w:color="D5DCE3" w:sz="2"/>
          <w:bottom w:val="single" w:color="D5DCE3" w:sz="2"/>
          <w:right w:val="single" w:color="D5DCE3" w:sz="2"/>
          <w:insideH w:val="single" w:color="D5DCE3" w:sz="2"/>
          <w:insideV w:val="single" w:color="D5DCE3" w:sz="2"/>
        </w:tblBorders>
      </w:tblPr>
      <w:tblGrid>
        <w:gridCol w:w="1900"/>
        <w:gridCol w:w="4300"/>
        <w:gridCol w:w="3160"/>
      </w:tblGrid>
      <w:tr>
        <w:trPr>
          <w:tblHeader/>
        </w:trPr>
        <w:tc>
          <w:tcPr>
            <w:tcW w:type="dxa" w:w="1900"/>
            <w:shd w:fill="0B2545" w:val="clear"/>
            <w:tcMar>
              <w:top w:type="dxa" w:w="70"/>
              <w:left w:type="dxa" w:w="100"/>
              <w:bottom w:type="dxa" w:w="70"/>
              <w:right w:type="dxa" w:w="100"/>
            </w:tcMar>
            <w:vAlign w:val="center"/>
          </w:tcPr>
          <w:p>
            <w:r>
              <w:rPr>
                <w:b/>
                <w:bCs/>
                <w:color w:val="FFFFFF"/>
                <w:sz w:val="17"/>
                <w:szCs w:val="17"/>
              </w:rPr>
              <w:t xml:space="preserve">Entity</w:t>
            </w:r>
          </w:p>
        </w:tc>
        <w:tc>
          <w:tcPr>
            <w:tcW w:type="dxa" w:w="4300"/>
            <w:shd w:fill="0B2545" w:val="clear"/>
            <w:tcMar>
              <w:top w:type="dxa" w:w="70"/>
              <w:left w:type="dxa" w:w="100"/>
              <w:bottom w:type="dxa" w:w="70"/>
              <w:right w:type="dxa" w:w="100"/>
            </w:tcMar>
            <w:vAlign w:val="center"/>
          </w:tcPr>
          <w:p>
            <w:r>
              <w:rPr>
                <w:b/>
                <w:bCs/>
                <w:color w:val="FFFFFF"/>
                <w:sz w:val="17"/>
                <w:szCs w:val="17"/>
              </w:rPr>
              <w:t xml:space="preserve">Key fields</w:t>
            </w:r>
          </w:p>
        </w:tc>
        <w:tc>
          <w:tcPr>
            <w:tcW w:type="dxa" w:w="3160"/>
            <w:shd w:fill="0B2545" w:val="clear"/>
            <w:tcMar>
              <w:top w:type="dxa" w:w="70"/>
              <w:left w:type="dxa" w:w="100"/>
              <w:bottom w:type="dxa" w:w="70"/>
              <w:right w:type="dxa" w:w="100"/>
            </w:tcMar>
            <w:vAlign w:val="center"/>
          </w:tcPr>
          <w:p>
            <w:r>
              <w:rPr>
                <w:b/>
                <w:bCs/>
                <w:color w:val="FFFFFF"/>
                <w:sz w:val="17"/>
                <w:szCs w:val="17"/>
              </w:rPr>
              <w:t xml:space="preserve">Notes</w:t>
            </w:r>
          </w:p>
        </w:tc>
      </w:tr>
      <w:tr>
        <w:tc>
          <w:tcPr>
            <w:tcW w:type="dxa" w:w="1900"/>
            <w:shd w:fill="FFFFFF" w:val="clear"/>
            <w:tcMar>
              <w:top w:type="dxa" w:w="70"/>
              <w:left w:type="dxa" w:w="100"/>
              <w:bottom w:type="dxa" w:w="70"/>
              <w:right w:type="dxa" w:w="100"/>
            </w:tcMar>
            <w:vAlign w:val="center"/>
          </w:tcPr>
          <w:p>
            <w:pPr>
              <w:spacing w:after="30"/>
            </w:pPr>
            <w:r>
              <w:rPr>
                <w:color w:val="2A2A2A"/>
                <w:sz w:val="17"/>
                <w:szCs w:val="17"/>
              </w:rPr>
              <w:t xml:space="preserve">School</w:t>
            </w:r>
          </w:p>
        </w:tc>
        <w:tc>
          <w:tcPr>
            <w:tcW w:type="dxa" w:w="4300"/>
            <w:shd w:fill="FFFFFF" w:val="clear"/>
            <w:tcMar>
              <w:top w:type="dxa" w:w="70"/>
              <w:left w:type="dxa" w:w="100"/>
              <w:bottom w:type="dxa" w:w="70"/>
              <w:right w:type="dxa" w:w="100"/>
            </w:tcMar>
            <w:vAlign w:val="center"/>
          </w:tcPr>
          <w:p>
            <w:pPr>
              <w:spacing w:after="30"/>
            </w:pPr>
            <w:r>
              <w:rPr>
                <w:color w:val="2A2A2A"/>
                <w:sz w:val="17"/>
                <w:szCs w:val="17"/>
              </w:rPr>
              <w:t xml:space="preserve">id, name, level, ownerId, verificationTier, campuses[]</w:t>
            </w:r>
          </w:p>
        </w:tc>
        <w:tc>
          <w:tcPr>
            <w:tcW w:type="dxa" w:w="3160"/>
            <w:shd w:fill="FFFFFF" w:val="clear"/>
            <w:tcMar>
              <w:top w:type="dxa" w:w="70"/>
              <w:left w:type="dxa" w:w="100"/>
              <w:bottom w:type="dxa" w:w="70"/>
              <w:right w:type="dxa" w:w="100"/>
            </w:tcMar>
            <w:vAlign w:val="center"/>
          </w:tcPr>
          <w:p>
            <w:pPr>
              <w:spacing w:after="30"/>
            </w:pPr>
            <w:r>
              <w:rPr>
                <w:color w:val="2A2A2A"/>
                <w:sz w:val="17"/>
                <w:szCs w:val="17"/>
              </w:rPr>
              <w:t xml:space="preserve">Verification tier gates escrow custody &amp; gov-reporting eligibility</w:t>
            </w:r>
          </w:p>
        </w:tc>
      </w:tr>
      <w:tr>
        <w:tc>
          <w:tcPr>
            <w:tcW w:type="dxa" w:w="1900"/>
            <w:shd w:fill="F2F2F2" w:val="clear"/>
            <w:tcMar>
              <w:top w:type="dxa" w:w="70"/>
              <w:left w:type="dxa" w:w="100"/>
              <w:bottom w:type="dxa" w:w="70"/>
              <w:right w:type="dxa" w:w="100"/>
            </w:tcMar>
            <w:vAlign w:val="center"/>
          </w:tcPr>
          <w:p>
            <w:pPr>
              <w:spacing w:after="30"/>
            </w:pPr>
            <w:r>
              <w:rPr>
                <w:color w:val="2A2A2A"/>
                <w:sz w:val="17"/>
                <w:szCs w:val="17"/>
              </w:rPr>
              <w:t xml:space="preserve">AcademicSession</w:t>
            </w:r>
          </w:p>
        </w:tc>
        <w:tc>
          <w:tcPr>
            <w:tcW w:type="dxa" w:w="4300"/>
            <w:shd w:fill="F2F2F2" w:val="clear"/>
            <w:tcMar>
              <w:top w:type="dxa" w:w="70"/>
              <w:left w:type="dxa" w:w="100"/>
              <w:bottom w:type="dxa" w:w="70"/>
              <w:right w:type="dxa" w:w="100"/>
            </w:tcMar>
            <w:vAlign w:val="center"/>
          </w:tcPr>
          <w:p>
            <w:pPr>
              <w:spacing w:after="30"/>
            </w:pPr>
            <w:r>
              <w:rPr>
                <w:color w:val="2A2A2A"/>
                <w:sz w:val="17"/>
                <w:szCs w:val="17"/>
              </w:rPr>
              <w:t xml:space="preserve">id, schoolId, name, termStructure, startDate, endDate, status</w:t>
            </w:r>
          </w:p>
        </w:tc>
        <w:tc>
          <w:tcPr>
            <w:tcW w:type="dxa" w:w="3160"/>
            <w:shd w:fill="F2F2F2" w:val="clear"/>
            <w:tcMar>
              <w:top w:type="dxa" w:w="70"/>
              <w:left w:type="dxa" w:w="100"/>
              <w:bottom w:type="dxa" w:w="70"/>
              <w:right w:type="dxa" w:w="100"/>
            </w:tcMar>
            <w:vAlign w:val="center"/>
          </w:tcPr>
          <w:p>
            <w:pPr>
              <w:spacing w:after="30"/>
            </w:pPr>
            <w:r>
              <w:rPr>
                <w:color w:val="2A2A2A"/>
                <w:sz w:val="17"/>
                <w:szCs w:val="17"/>
              </w:rPr>
              <w:t xml:space="preserve">e.g. "2026/2027", 3-term</w:t>
            </w:r>
          </w:p>
        </w:tc>
      </w:tr>
      <w:tr>
        <w:tc>
          <w:tcPr>
            <w:tcW w:type="dxa" w:w="1900"/>
            <w:shd w:fill="FFFFFF" w:val="clear"/>
            <w:tcMar>
              <w:top w:type="dxa" w:w="70"/>
              <w:left w:type="dxa" w:w="100"/>
              <w:bottom w:type="dxa" w:w="70"/>
              <w:right w:type="dxa" w:w="100"/>
            </w:tcMar>
            <w:vAlign w:val="center"/>
          </w:tcPr>
          <w:p>
            <w:pPr>
              <w:spacing w:after="30"/>
            </w:pPr>
            <w:r>
              <w:rPr>
                <w:color w:val="2A2A2A"/>
                <w:sz w:val="17"/>
                <w:szCs w:val="17"/>
              </w:rPr>
              <w:t xml:space="preserve">Class</w:t>
            </w:r>
          </w:p>
        </w:tc>
        <w:tc>
          <w:tcPr>
            <w:tcW w:type="dxa" w:w="4300"/>
            <w:shd w:fill="FFFFFF" w:val="clear"/>
            <w:tcMar>
              <w:top w:type="dxa" w:w="70"/>
              <w:left w:type="dxa" w:w="100"/>
              <w:bottom w:type="dxa" w:w="70"/>
              <w:right w:type="dxa" w:w="100"/>
            </w:tcMar>
            <w:vAlign w:val="center"/>
          </w:tcPr>
          <w:p>
            <w:pPr>
              <w:spacing w:after="30"/>
            </w:pPr>
            <w:r>
              <w:rPr>
                <w:color w:val="2A2A2A"/>
                <w:sz w:val="17"/>
                <w:szCs w:val="17"/>
              </w:rPr>
              <w:t xml:space="preserve">id, schoolId, sessionId, name, level, classTeacherId</w:t>
            </w:r>
          </w:p>
        </w:tc>
        <w:tc>
          <w:tcPr>
            <w:tcW w:type="dxa" w:w="3160"/>
            <w:shd w:fill="FFFFFF" w:val="clear"/>
            <w:tcMar>
              <w:top w:type="dxa" w:w="70"/>
              <w:left w:type="dxa" w:w="100"/>
              <w:bottom w:type="dxa" w:w="70"/>
              <w:right w:type="dxa" w:w="100"/>
            </w:tcMar>
            <w:vAlign w:val="center"/>
          </w:tcPr>
          <w:p>
            <w:pPr>
              <w:spacing w:after="30"/>
            </w:pPr>
            <w:r>
              <w:rPr>
                <w:color w:val="2A2A2A"/>
                <w:sz w:val="17"/>
                <w:szCs w:val="17"/>
              </w:rPr>
              <w:t xml:space="preserve">Rolls over each session via Promotion</w:t>
            </w:r>
          </w:p>
        </w:tc>
      </w:tr>
      <w:tr>
        <w:tc>
          <w:tcPr>
            <w:tcW w:type="dxa" w:w="1900"/>
            <w:shd w:fill="F2F2F2" w:val="clear"/>
            <w:tcMar>
              <w:top w:type="dxa" w:w="70"/>
              <w:left w:type="dxa" w:w="100"/>
              <w:bottom w:type="dxa" w:w="70"/>
              <w:right w:type="dxa" w:w="100"/>
            </w:tcMar>
            <w:vAlign w:val="center"/>
          </w:tcPr>
          <w:p>
            <w:pPr>
              <w:spacing w:after="30"/>
            </w:pPr>
            <w:r>
              <w:rPr>
                <w:color w:val="2A2A2A"/>
                <w:sz w:val="17"/>
                <w:szCs w:val="17"/>
              </w:rPr>
              <w:t xml:space="preserve">Student</w:t>
            </w:r>
          </w:p>
        </w:tc>
        <w:tc>
          <w:tcPr>
            <w:tcW w:type="dxa" w:w="4300"/>
            <w:shd w:fill="F2F2F2" w:val="clear"/>
            <w:tcMar>
              <w:top w:type="dxa" w:w="70"/>
              <w:left w:type="dxa" w:w="100"/>
              <w:bottom w:type="dxa" w:w="70"/>
              <w:right w:type="dxa" w:w="100"/>
            </w:tcMar>
            <w:vAlign w:val="center"/>
          </w:tcPr>
          <w:p>
            <w:pPr>
              <w:spacing w:after="30"/>
            </w:pPr>
            <w:r>
              <w:rPr>
                <w:color w:val="2A2A2A"/>
                <w:sz w:val="17"/>
                <w:szCs w:val="17"/>
              </w:rPr>
              <w:t xml:space="preserve">id, schoolId, classId, admissionNumber, guardianIds[], status</w:t>
            </w:r>
          </w:p>
        </w:tc>
        <w:tc>
          <w:tcPr>
            <w:tcW w:type="dxa" w:w="3160"/>
            <w:shd w:fill="F2F2F2" w:val="clear"/>
            <w:tcMar>
              <w:top w:type="dxa" w:w="70"/>
              <w:left w:type="dxa" w:w="100"/>
              <w:bottom w:type="dxa" w:w="70"/>
              <w:right w:type="dxa" w:w="100"/>
            </w:tcMar>
            <w:vAlign w:val="center"/>
          </w:tcPr>
          <w:p>
            <w:pPr>
              <w:spacing w:after="30"/>
            </w:pPr>
            <w:r>
              <w:rPr>
                <w:color w:val="2A2A2A"/>
                <w:sz w:val="17"/>
                <w:szCs w:val="17"/>
              </w:rPr>
              <w:t xml:space="preserve">status: active / promoted / repeated / graduated / withdrawn</w:t>
            </w:r>
          </w:p>
        </w:tc>
      </w:tr>
      <w:tr>
        <w:tc>
          <w:tcPr>
            <w:tcW w:type="dxa" w:w="1900"/>
            <w:shd w:fill="FFFFFF" w:val="clear"/>
            <w:tcMar>
              <w:top w:type="dxa" w:w="70"/>
              <w:left w:type="dxa" w:w="100"/>
              <w:bottom w:type="dxa" w:w="70"/>
              <w:right w:type="dxa" w:w="100"/>
            </w:tcMar>
            <w:vAlign w:val="center"/>
          </w:tcPr>
          <w:p>
            <w:pPr>
              <w:spacing w:after="30"/>
            </w:pPr>
            <w:r>
              <w:rPr>
                <w:color w:val="2A2A2A"/>
                <w:sz w:val="17"/>
                <w:szCs w:val="17"/>
              </w:rPr>
              <w:t xml:space="preserve">Guardian</w:t>
            </w:r>
          </w:p>
        </w:tc>
        <w:tc>
          <w:tcPr>
            <w:tcW w:type="dxa" w:w="4300"/>
            <w:shd w:fill="FFFFFF" w:val="clear"/>
            <w:tcMar>
              <w:top w:type="dxa" w:w="70"/>
              <w:left w:type="dxa" w:w="100"/>
              <w:bottom w:type="dxa" w:w="70"/>
              <w:right w:type="dxa" w:w="100"/>
            </w:tcMar>
            <w:vAlign w:val="center"/>
          </w:tcPr>
          <w:p>
            <w:pPr>
              <w:spacing w:after="30"/>
            </w:pPr>
            <w:r>
              <w:rPr>
                <w:color w:val="2A2A2A"/>
                <w:sz w:val="17"/>
                <w:szCs w:val="17"/>
              </w:rPr>
              <w:t xml:space="preserve">id, name, phone, walletId, linkedStudentIds[], relationship</w:t>
            </w:r>
          </w:p>
        </w:tc>
        <w:tc>
          <w:tcPr>
            <w:tcW w:type="dxa" w:w="3160"/>
            <w:shd w:fill="FFFFFF" w:val="clear"/>
            <w:tcMar>
              <w:top w:type="dxa" w:w="70"/>
              <w:left w:type="dxa" w:w="100"/>
              <w:bottom w:type="dxa" w:w="70"/>
              <w:right w:type="dxa" w:w="100"/>
            </w:tcMar>
            <w:vAlign w:val="center"/>
          </w:tcPr>
          <w:p>
            <w:pPr>
              <w:spacing w:after="30"/>
            </w:pPr>
            <w:r>
              <w:rPr>
                <w:color w:val="2A2A2A"/>
                <w:sz w:val="17"/>
                <w:szCs w:val="17"/>
              </w:rPr>
              <w:t xml:space="preserve">One identity spans all children, all schools</w:t>
            </w:r>
          </w:p>
        </w:tc>
      </w:tr>
      <w:tr>
        <w:tc>
          <w:tcPr>
            <w:tcW w:type="dxa" w:w="1900"/>
            <w:shd w:fill="F2F2F2" w:val="clear"/>
            <w:tcMar>
              <w:top w:type="dxa" w:w="70"/>
              <w:left w:type="dxa" w:w="100"/>
              <w:bottom w:type="dxa" w:w="70"/>
              <w:right w:type="dxa" w:w="100"/>
            </w:tcMar>
            <w:vAlign w:val="center"/>
          </w:tcPr>
          <w:p>
            <w:pPr>
              <w:spacing w:after="30"/>
            </w:pPr>
            <w:r>
              <w:rPr>
                <w:color w:val="2A2A2A"/>
                <w:sz w:val="17"/>
                <w:szCs w:val="17"/>
              </w:rPr>
              <w:t xml:space="preserve">FeeSchedule</w:t>
            </w:r>
          </w:p>
        </w:tc>
        <w:tc>
          <w:tcPr>
            <w:tcW w:type="dxa" w:w="4300"/>
            <w:shd w:fill="F2F2F2" w:val="clear"/>
            <w:tcMar>
              <w:top w:type="dxa" w:w="70"/>
              <w:left w:type="dxa" w:w="100"/>
              <w:bottom w:type="dxa" w:w="70"/>
              <w:right w:type="dxa" w:w="100"/>
            </w:tcMar>
            <w:vAlign w:val="center"/>
          </w:tcPr>
          <w:p>
            <w:pPr>
              <w:spacing w:after="30"/>
            </w:pPr>
            <w:r>
              <w:rPr>
                <w:color w:val="2A2A2A"/>
                <w:sz w:val="17"/>
                <w:szCs w:val="17"/>
              </w:rPr>
              <w:t xml:space="preserve">id, schoolId, classId, sessionId, termId, feeItems[], installmentPolicy</w:t>
            </w:r>
          </w:p>
        </w:tc>
        <w:tc>
          <w:tcPr>
            <w:tcW w:type="dxa" w:w="3160"/>
            <w:shd w:fill="F2F2F2" w:val="clear"/>
            <w:tcMar>
              <w:top w:type="dxa" w:w="70"/>
              <w:left w:type="dxa" w:w="100"/>
              <w:bottom w:type="dxa" w:w="70"/>
              <w:right w:type="dxa" w:w="100"/>
            </w:tcMar>
            <w:vAlign w:val="center"/>
          </w:tcPr>
          <w:p>
            <w:pPr>
              <w:spacing w:after="30"/>
            </w:pPr>
            <w:r>
              <w:rPr>
                <w:color w:val="2A2A2A"/>
                <w:sz w:val="17"/>
                <w:szCs w:val="17"/>
              </w:rPr>
              <w:t xml:space="preserve">Immutable snapshot once an invoice is issued against it</w:t>
            </w:r>
          </w:p>
        </w:tc>
      </w:tr>
      <w:tr>
        <w:tc>
          <w:tcPr>
            <w:tcW w:type="dxa" w:w="1900"/>
            <w:shd w:fill="FFFFFF" w:val="clear"/>
            <w:tcMar>
              <w:top w:type="dxa" w:w="70"/>
              <w:left w:type="dxa" w:w="100"/>
              <w:bottom w:type="dxa" w:w="70"/>
              <w:right w:type="dxa" w:w="100"/>
            </w:tcMar>
            <w:vAlign w:val="center"/>
          </w:tcPr>
          <w:p>
            <w:pPr>
              <w:spacing w:after="30"/>
            </w:pPr>
            <w:r>
              <w:rPr>
                <w:color w:val="2A2A2A"/>
                <w:sz w:val="17"/>
                <w:szCs w:val="17"/>
              </w:rPr>
              <w:t xml:space="preserve">Invoice</w:t>
            </w:r>
          </w:p>
        </w:tc>
        <w:tc>
          <w:tcPr>
            <w:tcW w:type="dxa" w:w="4300"/>
            <w:shd w:fill="FFFFFF" w:val="clear"/>
            <w:tcMar>
              <w:top w:type="dxa" w:w="70"/>
              <w:left w:type="dxa" w:w="100"/>
              <w:bottom w:type="dxa" w:w="70"/>
              <w:right w:type="dxa" w:w="100"/>
            </w:tcMar>
            <w:vAlign w:val="center"/>
          </w:tcPr>
          <w:p>
            <w:pPr>
              <w:spacing w:after="30"/>
            </w:pPr>
            <w:r>
              <w:rPr>
                <w:color w:val="2A2A2A"/>
                <w:sz w:val="17"/>
                <w:szCs w:val="17"/>
              </w:rPr>
              <w:t xml:space="preserve">id, studentId, feeScheduleId, totalAmount, amountPaid, balance, dueDate, status</w:t>
            </w:r>
          </w:p>
        </w:tc>
        <w:tc>
          <w:tcPr>
            <w:tcW w:type="dxa" w:w="3160"/>
            <w:shd w:fill="FFFFFF" w:val="clear"/>
            <w:tcMar>
              <w:top w:type="dxa" w:w="70"/>
              <w:left w:type="dxa" w:w="100"/>
              <w:bottom w:type="dxa" w:w="70"/>
              <w:right w:type="dxa" w:w="100"/>
            </w:tcMar>
            <w:vAlign w:val="center"/>
          </w:tcPr>
          <w:p>
            <w:pPr>
              <w:spacing w:after="30"/>
            </w:pPr>
            <w:r>
              <w:rPr>
                <w:color w:val="2A2A2A"/>
                <w:sz w:val="17"/>
                <w:szCs w:val="17"/>
              </w:rPr>
              <w:t xml:space="preserve">status: draft/issued/partially_paid/paid/overdue/frozen/waived</w:t>
            </w:r>
          </w:p>
        </w:tc>
      </w:tr>
      <w:tr>
        <w:tc>
          <w:tcPr>
            <w:tcW w:type="dxa" w:w="1900"/>
            <w:shd w:fill="F2F2F2" w:val="clear"/>
            <w:tcMar>
              <w:top w:type="dxa" w:w="70"/>
              <w:left w:type="dxa" w:w="100"/>
              <w:bottom w:type="dxa" w:w="70"/>
              <w:right w:type="dxa" w:w="100"/>
            </w:tcMar>
            <w:vAlign w:val="center"/>
          </w:tcPr>
          <w:p>
            <w:pPr>
              <w:spacing w:after="30"/>
            </w:pPr>
            <w:r>
              <w:rPr>
                <w:color w:val="2A2A2A"/>
                <w:sz w:val="17"/>
                <w:szCs w:val="17"/>
              </w:rPr>
              <w:t xml:space="preserve">Payment</w:t>
            </w:r>
          </w:p>
        </w:tc>
        <w:tc>
          <w:tcPr>
            <w:tcW w:type="dxa" w:w="4300"/>
            <w:shd w:fill="F2F2F2" w:val="clear"/>
            <w:tcMar>
              <w:top w:type="dxa" w:w="70"/>
              <w:left w:type="dxa" w:w="100"/>
              <w:bottom w:type="dxa" w:w="70"/>
              <w:right w:type="dxa" w:w="100"/>
            </w:tcMar>
            <w:vAlign w:val="center"/>
          </w:tcPr>
          <w:p>
            <w:pPr>
              <w:spacing w:after="30"/>
            </w:pPr>
            <w:r>
              <w:rPr>
                <w:color w:val="2A2A2A"/>
                <w:sz w:val="17"/>
                <w:szCs w:val="17"/>
              </w:rPr>
              <w:t xml:space="preserve">id, invoiceId, guardianId, amount, method, providerRef, status, idempotencyKey</w:t>
            </w:r>
          </w:p>
        </w:tc>
        <w:tc>
          <w:tcPr>
            <w:tcW w:type="dxa" w:w="3160"/>
            <w:shd w:fill="F2F2F2" w:val="clear"/>
            <w:tcMar>
              <w:top w:type="dxa" w:w="70"/>
              <w:left w:type="dxa" w:w="100"/>
              <w:bottom w:type="dxa" w:w="70"/>
              <w:right w:type="dxa" w:w="100"/>
            </w:tcMar>
            <w:vAlign w:val="center"/>
          </w:tcPr>
          <w:p>
            <w:pPr>
              <w:spacing w:after="30"/>
            </w:pPr>
            <w:r>
              <w:rPr>
                <w:color w:val="2A2A2A"/>
                <w:sz w:val="17"/>
                <w:szCs w:val="17"/>
              </w:rPr>
              <w:t xml:space="preserve">Append-only; never mutates invoice balance directly</w:t>
            </w:r>
          </w:p>
        </w:tc>
      </w:tr>
      <w:tr>
        <w:tc>
          <w:tcPr>
            <w:tcW w:type="dxa" w:w="1900"/>
            <w:shd w:fill="FFFFFF" w:val="clear"/>
            <w:tcMar>
              <w:top w:type="dxa" w:w="70"/>
              <w:left w:type="dxa" w:w="100"/>
              <w:bottom w:type="dxa" w:w="70"/>
              <w:right w:type="dxa" w:w="100"/>
            </w:tcMar>
            <w:vAlign w:val="center"/>
          </w:tcPr>
          <w:p>
            <w:pPr>
              <w:spacing w:after="30"/>
            </w:pPr>
            <w:r>
              <w:rPr>
                <w:color w:val="2A2A2A"/>
                <w:sz w:val="17"/>
                <w:szCs w:val="17"/>
              </w:rPr>
              <w:t xml:space="preserve">FeesVault</w:t>
            </w:r>
          </w:p>
        </w:tc>
        <w:tc>
          <w:tcPr>
            <w:tcW w:type="dxa" w:w="4300"/>
            <w:shd w:fill="FFFFFF" w:val="clear"/>
            <w:tcMar>
              <w:top w:type="dxa" w:w="70"/>
              <w:left w:type="dxa" w:w="100"/>
              <w:bottom w:type="dxa" w:w="70"/>
              <w:right w:type="dxa" w:w="100"/>
            </w:tcMar>
            <w:vAlign w:val="center"/>
          </w:tcPr>
          <w:p>
            <w:pPr>
              <w:spacing w:after="30"/>
            </w:pPr>
            <w:r>
              <w:rPr>
                <w:color w:val="2A2A2A"/>
                <w:sz w:val="17"/>
                <w:szCs w:val="17"/>
              </w:rPr>
              <w:t xml:space="preserve">id, guardianId, studentId(s), targetAmount, currentBalance, status</w:t>
            </w:r>
          </w:p>
        </w:tc>
        <w:tc>
          <w:tcPr>
            <w:tcW w:type="dxa" w:w="3160"/>
            <w:shd w:fill="FFFFFF" w:val="clear"/>
            <w:tcMar>
              <w:top w:type="dxa" w:w="70"/>
              <w:left w:type="dxa" w:w="100"/>
              <w:bottom w:type="dxa" w:w="70"/>
              <w:right w:type="dxa" w:w="100"/>
            </w:tcMar>
            <w:vAlign w:val="center"/>
          </w:tcPr>
          <w:p>
            <w:pPr>
              <w:spacing w:after="30"/>
            </w:pPr>
            <w:r>
              <w:rPr>
                <w:color w:val="2A2A2A"/>
                <w:sz w:val="17"/>
                <w:szCs w:val="17"/>
              </w:rPr>
              <w:t xml:space="preserve">Segregated ledger sub-account; status: active/matured/withdrawn/locked</w:t>
            </w:r>
          </w:p>
        </w:tc>
      </w:tr>
      <w:tr>
        <w:tc>
          <w:tcPr>
            <w:tcW w:type="dxa" w:w="1900"/>
            <w:shd w:fill="F2F2F2" w:val="clear"/>
            <w:tcMar>
              <w:top w:type="dxa" w:w="70"/>
              <w:left w:type="dxa" w:w="100"/>
              <w:bottom w:type="dxa" w:w="70"/>
              <w:right w:type="dxa" w:w="100"/>
            </w:tcMar>
            <w:vAlign w:val="center"/>
          </w:tcPr>
          <w:p>
            <w:pPr>
              <w:spacing w:after="30"/>
            </w:pPr>
            <w:r>
              <w:rPr>
                <w:color w:val="2A2A2A"/>
                <w:sz w:val="17"/>
                <w:szCs w:val="17"/>
              </w:rPr>
              <w:t xml:space="preserve">PromotionRecord</w:t>
            </w:r>
          </w:p>
        </w:tc>
        <w:tc>
          <w:tcPr>
            <w:tcW w:type="dxa" w:w="4300"/>
            <w:shd w:fill="F2F2F2" w:val="clear"/>
            <w:tcMar>
              <w:top w:type="dxa" w:w="70"/>
              <w:left w:type="dxa" w:w="100"/>
              <w:bottom w:type="dxa" w:w="70"/>
              <w:right w:type="dxa" w:w="100"/>
            </w:tcMar>
            <w:vAlign w:val="center"/>
          </w:tcPr>
          <w:p>
            <w:pPr>
              <w:spacing w:after="30"/>
            </w:pPr>
            <w:r>
              <w:rPr>
                <w:color w:val="2A2A2A"/>
                <w:sz w:val="17"/>
                <w:szCs w:val="17"/>
              </w:rPr>
              <w:t xml:space="preserve">id, studentId, fromClassId, toClassId, sessionId, examScore, decision, approvedBy</w:t>
            </w:r>
          </w:p>
        </w:tc>
        <w:tc>
          <w:tcPr>
            <w:tcW w:type="dxa" w:w="3160"/>
            <w:shd w:fill="F2F2F2" w:val="clear"/>
            <w:tcMar>
              <w:top w:type="dxa" w:w="70"/>
              <w:left w:type="dxa" w:w="100"/>
              <w:bottom w:type="dxa" w:w="70"/>
              <w:right w:type="dxa" w:w="100"/>
            </w:tcMar>
            <w:vAlign w:val="center"/>
          </w:tcPr>
          <w:p>
            <w:pPr>
              <w:spacing w:after="30"/>
            </w:pPr>
            <w:r>
              <w:rPr>
                <w:color w:val="2A2A2A"/>
                <w:sz w:val="17"/>
                <w:szCs w:val="17"/>
              </w:rPr>
              <w:t xml:space="preserve">decision: promoted/repeated/conditional</w:t>
            </w:r>
          </w:p>
        </w:tc>
      </w:tr>
      <w:tr>
        <w:tc>
          <w:tcPr>
            <w:tcW w:type="dxa" w:w="1900"/>
            <w:shd w:fill="FFFFFF" w:val="clear"/>
            <w:tcMar>
              <w:top w:type="dxa" w:w="70"/>
              <w:left w:type="dxa" w:w="100"/>
              <w:bottom w:type="dxa" w:w="70"/>
              <w:right w:type="dxa" w:w="100"/>
            </w:tcMar>
            <w:vAlign w:val="center"/>
          </w:tcPr>
          <w:p>
            <w:pPr>
              <w:spacing w:after="30"/>
            </w:pPr>
            <w:r>
              <w:rPr>
                <w:color w:val="2A2A2A"/>
                <w:sz w:val="17"/>
                <w:szCs w:val="17"/>
              </w:rPr>
              <w:t xml:space="preserve">LeaderboardEntry</w:t>
            </w:r>
          </w:p>
        </w:tc>
        <w:tc>
          <w:tcPr>
            <w:tcW w:type="dxa" w:w="4300"/>
            <w:shd w:fill="FFFFFF" w:val="clear"/>
            <w:tcMar>
              <w:top w:type="dxa" w:w="70"/>
              <w:left w:type="dxa" w:w="100"/>
              <w:bottom w:type="dxa" w:w="70"/>
              <w:right w:type="dxa" w:w="100"/>
            </w:tcMar>
            <w:vAlign w:val="center"/>
          </w:tcPr>
          <w:p>
            <w:pPr>
              <w:spacing w:after="30"/>
            </w:pPr>
            <w:r>
              <w:rPr>
                <w:color w:val="2A2A2A"/>
                <w:sz w:val="17"/>
                <w:szCs w:val="17"/>
              </w:rPr>
              <w:t xml:space="preserve">id, studentId, schoolId, scope, subject, score, rank, period</w:t>
            </w:r>
          </w:p>
        </w:tc>
        <w:tc>
          <w:tcPr>
            <w:tcW w:type="dxa" w:w="3160"/>
            <w:shd w:fill="FFFFFF" w:val="clear"/>
            <w:tcMar>
              <w:top w:type="dxa" w:w="70"/>
              <w:left w:type="dxa" w:w="100"/>
              <w:bottom w:type="dxa" w:w="70"/>
              <w:right w:type="dxa" w:w="100"/>
            </w:tcMar>
            <w:vAlign w:val="center"/>
          </w:tcPr>
          <w:p>
            <w:pPr>
              <w:spacing w:after="30"/>
            </w:pPr>
            <w:r>
              <w:rPr>
                <w:color w:val="2A2A2A"/>
                <w:sz w:val="17"/>
                <w:szCs w:val="17"/>
              </w:rPr>
              <w:t xml:space="preserve">scope: class/school/city/state/national</w:t>
            </w:r>
          </w:p>
        </w:tc>
      </w:tr>
      <w:tr>
        <w:tc>
          <w:tcPr>
            <w:tcW w:type="dxa" w:w="1900"/>
            <w:shd w:fill="F2F2F2" w:val="clear"/>
            <w:tcMar>
              <w:top w:type="dxa" w:w="70"/>
              <w:left w:type="dxa" w:w="100"/>
              <w:bottom w:type="dxa" w:w="70"/>
              <w:right w:type="dxa" w:w="100"/>
            </w:tcMar>
            <w:vAlign w:val="center"/>
          </w:tcPr>
          <w:p>
            <w:pPr>
              <w:spacing w:after="30"/>
            </w:pPr>
            <w:r>
              <w:rPr>
                <w:color w:val="2A2A2A"/>
                <w:sz w:val="17"/>
                <w:szCs w:val="17"/>
              </w:rPr>
              <w:t xml:space="preserve">Competition</w:t>
            </w:r>
          </w:p>
        </w:tc>
        <w:tc>
          <w:tcPr>
            <w:tcW w:type="dxa" w:w="4300"/>
            <w:shd w:fill="F2F2F2" w:val="clear"/>
            <w:tcMar>
              <w:top w:type="dxa" w:w="70"/>
              <w:left w:type="dxa" w:w="100"/>
              <w:bottom w:type="dxa" w:w="70"/>
              <w:right w:type="dxa" w:w="100"/>
            </w:tcMar>
            <w:vAlign w:val="center"/>
          </w:tcPr>
          <w:p>
            <w:pPr>
              <w:spacing w:after="30"/>
            </w:pPr>
            <w:r>
              <w:rPr>
                <w:color w:val="2A2A2A"/>
                <w:sz w:val="17"/>
                <w:szCs w:val="17"/>
              </w:rPr>
              <w:t xml:space="preserve">id, name, scope, participatingSchoolIds[], startDate, endDate, status, sponsor</w:t>
            </w:r>
          </w:p>
        </w:tc>
        <w:tc>
          <w:tcPr>
            <w:tcW w:type="dxa" w:w="3160"/>
            <w:shd w:fill="F2F2F2" w:val="clear"/>
            <w:tcMar>
              <w:top w:type="dxa" w:w="70"/>
              <w:left w:type="dxa" w:w="100"/>
              <w:bottom w:type="dxa" w:w="70"/>
              <w:right w:type="dxa" w:w="100"/>
            </w:tcMar>
            <w:vAlign w:val="center"/>
          </w:tcPr>
          <w:p>
            <w:pPr>
              <w:spacing w:after="30"/>
            </w:pPr>
            <w:r>
              <w:rPr>
                <w:color w:val="2A2A2A"/>
                <w:sz w:val="17"/>
                <w:szCs w:val="17"/>
              </w:rPr>
              <w:t xml:space="preserve">status: draft/open_registration/in_progress/completed</w:t>
            </w:r>
          </w:p>
        </w:tc>
      </w:tr>
      <w:tr>
        <w:tc>
          <w:tcPr>
            <w:tcW w:type="dxa" w:w="1900"/>
            <w:shd w:fill="FFFFFF" w:val="clear"/>
            <w:tcMar>
              <w:top w:type="dxa" w:w="70"/>
              <w:left w:type="dxa" w:w="100"/>
              <w:bottom w:type="dxa" w:w="70"/>
              <w:right w:type="dxa" w:w="100"/>
            </w:tcMar>
            <w:vAlign w:val="center"/>
          </w:tcPr>
          <w:p>
            <w:pPr>
              <w:spacing w:after="30"/>
            </w:pPr>
            <w:r>
              <w:rPr>
                <w:color w:val="2A2A2A"/>
                <w:sz w:val="17"/>
                <w:szCs w:val="17"/>
              </w:rPr>
              <w:t xml:space="preserve">ScholarshipPledge</w:t>
            </w:r>
          </w:p>
        </w:tc>
        <w:tc>
          <w:tcPr>
            <w:tcW w:type="dxa" w:w="4300"/>
            <w:shd w:fill="FFFFFF" w:val="clear"/>
            <w:tcMar>
              <w:top w:type="dxa" w:w="70"/>
              <w:left w:type="dxa" w:w="100"/>
              <w:bottom w:type="dxa" w:w="70"/>
              <w:right w:type="dxa" w:w="100"/>
            </w:tcMar>
            <w:vAlign w:val="center"/>
          </w:tcPr>
          <w:p>
            <w:pPr>
              <w:spacing w:after="30"/>
            </w:pPr>
            <w:r>
              <w:rPr>
                <w:color w:val="2A2A2A"/>
                <w:sz w:val="17"/>
                <w:szCs w:val="17"/>
              </w:rPr>
              <w:t xml:space="preserve">id, sponsorId, targetStudentId, amount, status</w:t>
            </w:r>
          </w:p>
        </w:tc>
        <w:tc>
          <w:tcPr>
            <w:tcW w:type="dxa" w:w="3160"/>
            <w:shd w:fill="FFFFFF" w:val="clear"/>
            <w:tcMar>
              <w:top w:type="dxa" w:w="70"/>
              <w:left w:type="dxa" w:w="100"/>
              <w:bottom w:type="dxa" w:w="70"/>
              <w:right w:type="dxa" w:w="100"/>
            </w:tcMar>
            <w:vAlign w:val="center"/>
          </w:tcPr>
          <w:p>
            <w:pPr>
              <w:spacing w:after="30"/>
            </w:pPr>
            <w:r>
              <w:rPr>
                <w:color w:val="2A2A2A"/>
                <w:sz w:val="17"/>
                <w:szCs w:val="17"/>
              </w:rPr>
              <w:t xml:space="preserve">Powers Sponsor-a-Student</w:t>
            </w:r>
          </w:p>
        </w:tc>
      </w:tr>
    </w:tbl>
    <w:p>
      <w:pPr>
        <w:pStyle w:val="Heading1"/>
        <w:pBdr>
          <w:bottom w:val="single" w:color="C9A227" w:sz="6" w:space="4"/>
        </w:pBdr>
        <w:spacing w:after="160" w:before="420"/>
      </w:pPr>
      <w:r>
        <w:rPr>
          <w:b/>
          <w:bCs/>
          <w:color w:val="0B2545"/>
          <w:sz w:val="30"/>
          <w:szCs w:val="30"/>
        </w:rPr>
        <w:t xml:space="preserve">5. Key State Machines</w:t>
      </w:r>
    </w:p>
    <w:p>
      <w:pPr>
        <w:pStyle w:val="Heading3"/>
        <w:spacing w:after="80" w:before="200"/>
      </w:pPr>
      <w:r>
        <w:rPr>
          <w:b/>
          <w:bCs/>
          <w:color w:val="0B2545"/>
          <w:sz w:val="22"/>
          <w:szCs w:val="22"/>
        </w:rPr>
        <w:t xml:space="preserve">5.1 Invoice lifecycle</w:t>
      </w:r>
    </w:p>
    <w:p>
      <w:pPr>
        <w:spacing w:after="160" w:line="300"/>
      </w:pPr>
      <w:r>
        <w:rPr>
          <w:b w:val="false"/>
          <w:bCs w:val="false"/>
          <w:i w:val="false"/>
          <w:iCs w:val="false"/>
          <w:color w:val="1A1A1A"/>
          <w:sz w:val="21"/>
          <w:szCs w:val="21"/>
        </w:rPr>
        <w:t xml:space="preserve">draft → issued → partially_paid ⇄ (payment events) → paid  |  overdue (past due date, balance &gt; 0) → frozen (hardship pause, human-approved) → waived (admin/scholarship override). Terminal states: paid, waived, written_off. Balance is never edited directly — only Payment and Waiver events move it.</w:t>
      </w:r>
    </w:p>
    <w:p>
      <w:pPr>
        <w:pStyle w:val="Heading3"/>
        <w:spacing w:after="80" w:before="200"/>
      </w:pPr>
      <w:r>
        <w:rPr>
          <w:b/>
          <w:bCs/>
          <w:color w:val="0B2545"/>
          <w:sz w:val="22"/>
          <w:szCs w:val="22"/>
        </w:rPr>
        <w:t xml:space="preserve">5.2 Fees Vault lifecycle</w:t>
      </w:r>
    </w:p>
    <w:p>
      <w:pPr>
        <w:spacing w:after="160" w:line="300"/>
      </w:pPr>
      <w:r>
        <w:rPr>
          <w:b w:val="false"/>
          <w:bCs w:val="false"/>
          <w:i w:val="false"/>
          <w:iCs w:val="false"/>
          <w:color w:val="1A1A1A"/>
          <w:sz w:val="21"/>
          <w:szCs w:val="21"/>
        </w:rPr>
        <w:t xml:space="preserve">created → active (accepting contributions) → target_reached → applied_to_invoice (one-action transfer at term-start) | withdrawn (early exit, policy-defined). A Vault can also sit dormant/paused without penalty — this is a savings tool, not a locked commitment product by default.</w:t>
      </w:r>
    </w:p>
    <w:p>
      <w:pPr>
        <w:pStyle w:val="Heading3"/>
        <w:spacing w:after="80" w:before="200"/>
      </w:pPr>
      <w:r>
        <w:rPr>
          <w:b/>
          <w:bCs/>
          <w:color w:val="0B2545"/>
          <w:sz w:val="22"/>
          <w:szCs w:val="22"/>
        </w:rPr>
        <w:t xml:space="preserve">5.3 Promotion lifecycle (end of session)</w:t>
      </w:r>
    </w:p>
    <w:p>
      <w:pPr>
        <w:spacing w:after="160" w:line="300"/>
      </w:pPr>
      <w:r>
        <w:rPr>
          <w:b w:val="false"/>
          <w:bCs w:val="false"/>
          <w:i w:val="false"/>
          <w:iCs w:val="false"/>
          <w:color w:val="1A1A1A"/>
          <w:sz w:val="21"/>
          <w:szCs w:val="21"/>
        </w:rPr>
        <w:t xml:space="preserve">session_active → results_finalized (teacher score entry complete) → promotion_computed (engine proposes, per school's own pass-mark policy) → promotion_reviewed (class teacher sign-off) → promotion_approved (head teacher/admin sign-off) → applied (class + fee schedule update for the new session). Nothing changes a student's class without both review steps — this is deliberately not a one-click automation.</w:t>
      </w:r>
    </w:p>
    <w:p>
      <w:pPr>
        <w:pStyle w:val="Heading3"/>
        <w:spacing w:after="80" w:before="200"/>
      </w:pPr>
      <w:r>
        <w:rPr>
          <w:b/>
          <w:bCs/>
          <w:color w:val="0B2545"/>
          <w:sz w:val="22"/>
          <w:szCs w:val="22"/>
        </w:rPr>
        <w:t xml:space="preserve">5.4 Competition lifecycle</w:t>
      </w:r>
    </w:p>
    <w:p>
      <w:pPr>
        <w:spacing w:after="160" w:line="300"/>
      </w:pPr>
      <w:r>
        <w:rPr>
          <w:b w:val="false"/>
          <w:bCs w:val="false"/>
          <w:i w:val="false"/>
          <w:iCs w:val="false"/>
          <w:color w:val="1A1A1A"/>
          <w:sz w:val="21"/>
          <w:szCs w:val="21"/>
        </w:rPr>
        <w:t xml:space="preserve">draft → open_registration → registration_closed → in_progress → results_pending → completed → archived. Cross-school scoring locks the moment a competition moves to results_pending, preventing late score disputes from reopening a closed leaderboard.</w:t>
      </w:r>
    </w:p>
    <w:p>
      <w:pPr>
        <w:pStyle w:val="Heading1"/>
        <w:pBdr>
          <w:bottom w:val="single" w:color="C9A227" w:sz="6" w:space="4"/>
        </w:pBdr>
        <w:spacing w:after="160" w:before="420"/>
      </w:pPr>
      <w:r>
        <w:rPr>
          <w:b/>
          <w:bCs/>
          <w:color w:val="0B2545"/>
          <w:sz w:val="30"/>
          <w:szCs w:val="30"/>
        </w:rPr>
        <w:t xml:space="preserve">6. Engineering &amp; Safety Invariants (SF-1 … SF-12)</w:t>
      </w:r>
    </w:p>
    <w:tbl>
      <w:tblPr>
        <w:tblW w:type="dxa" w:w="9360"/>
        <w:tblBorders>
          <w:top w:val="single" w:color="D5DCE3" w:sz="2"/>
          <w:left w:val="single" w:color="D5DCE3" w:sz="2"/>
          <w:bottom w:val="single" w:color="D5DCE3" w:sz="2"/>
          <w:right w:val="single" w:color="D5DCE3" w:sz="2"/>
          <w:insideH w:val="single" w:color="D5DCE3" w:sz="2"/>
          <w:insideV w:val="single" w:color="D5DCE3" w:sz="2"/>
        </w:tblBorders>
      </w:tblPr>
      <w:tblGrid>
        <w:gridCol w:w="900"/>
        <w:gridCol w:w="8460"/>
      </w:tblGrid>
      <w:tr>
        <w:trPr>
          <w:tblHeader/>
        </w:trPr>
        <w:tc>
          <w:tcPr>
            <w:tcW w:type="dxa" w:w="900"/>
            <w:shd w:fill="0B2545" w:val="clear"/>
            <w:tcMar>
              <w:top w:type="dxa" w:w="70"/>
              <w:left w:type="dxa" w:w="100"/>
              <w:bottom w:type="dxa" w:w="70"/>
              <w:right w:type="dxa" w:w="100"/>
            </w:tcMar>
            <w:vAlign w:val="center"/>
          </w:tcPr>
          <w:p>
            <w:r>
              <w:rPr>
                <w:b/>
                <w:bCs/>
                <w:color w:val="FFFFFF"/>
                <w:sz w:val="17"/>
                <w:szCs w:val="17"/>
              </w:rPr>
              <w:t xml:space="preserve">#</w:t>
            </w:r>
          </w:p>
        </w:tc>
        <w:tc>
          <w:tcPr>
            <w:tcW w:type="dxa" w:w="8460"/>
            <w:shd w:fill="0B2545" w:val="clear"/>
            <w:tcMar>
              <w:top w:type="dxa" w:w="70"/>
              <w:left w:type="dxa" w:w="100"/>
              <w:bottom w:type="dxa" w:w="70"/>
              <w:right w:type="dxa" w:w="100"/>
            </w:tcMar>
            <w:vAlign w:val="center"/>
          </w:tcPr>
          <w:p>
            <w:r>
              <w:rPr>
                <w:b/>
                <w:bCs/>
                <w:color w:val="FFFFFF"/>
                <w:sz w:val="17"/>
                <w:szCs w:val="17"/>
              </w:rPr>
              <w:t xml:space="preserve">Invariant</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SF-1</w:t>
            </w:r>
          </w:p>
        </w:tc>
        <w:tc>
          <w:tcPr>
            <w:tcW w:type="dxa" w:w="8460"/>
            <w:shd w:fill="FFFFFF" w:val="clear"/>
            <w:tcMar>
              <w:top w:type="dxa" w:w="70"/>
              <w:left w:type="dxa" w:w="100"/>
              <w:bottom w:type="dxa" w:w="70"/>
              <w:right w:type="dxa" w:w="100"/>
            </w:tcMar>
            <w:vAlign w:val="center"/>
          </w:tcPr>
          <w:p>
            <w:pPr>
              <w:spacing w:after="30"/>
            </w:pPr>
            <w:r>
              <w:rPr>
                <w:color w:val="2A2A2A"/>
                <w:sz w:val="17"/>
                <w:szCs w:val="17"/>
              </w:rPr>
              <w:t xml:space="preserve">Every invoice traces to an immutable FeeSchedule snapshot at issuance — fee changes never retroactively alter already-issued invoices.</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SF-2</w:t>
            </w:r>
          </w:p>
        </w:tc>
        <w:tc>
          <w:tcPr>
            <w:tcW w:type="dxa" w:w="8460"/>
            <w:shd w:fill="F2F2F2" w:val="clear"/>
            <w:tcMar>
              <w:top w:type="dxa" w:w="70"/>
              <w:left w:type="dxa" w:w="100"/>
              <w:bottom w:type="dxa" w:w="70"/>
              <w:right w:type="dxa" w:w="100"/>
            </w:tcMar>
            <w:vAlign w:val="center"/>
          </w:tcPr>
          <w:p>
            <w:pPr>
              <w:spacing w:after="30"/>
            </w:pPr>
            <w:r>
              <w:rPr>
                <w:color w:val="2A2A2A"/>
                <w:sz w:val="17"/>
                <w:szCs w:val="17"/>
              </w:rPr>
              <w:t xml:space="preserve">All payments are idempotent, append-only ledger events; no invoice balance is ever mutated outside a Payment or Waiver event.</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SF-3</w:t>
            </w:r>
          </w:p>
        </w:tc>
        <w:tc>
          <w:tcPr>
            <w:tcW w:type="dxa" w:w="8460"/>
            <w:shd w:fill="FFFFFF" w:val="clear"/>
            <w:tcMar>
              <w:top w:type="dxa" w:w="70"/>
              <w:left w:type="dxa" w:w="100"/>
              <w:bottom w:type="dxa" w:w="70"/>
              <w:right w:type="dxa" w:w="100"/>
            </w:tcMar>
            <w:vAlign w:val="center"/>
          </w:tcPr>
          <w:p>
            <w:pPr>
              <w:spacing w:after="30"/>
            </w:pPr>
            <w:r>
              <w:rPr>
                <w:color w:val="2A2A2A"/>
                <w:sz w:val="17"/>
                <w:szCs w:val="17"/>
              </w:rPr>
              <w:t xml:space="preserve">Promotion is never fully automatic — the engine proposes, a class teacher and head teacher/admin must both approve before any class assignment changes.</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SF-4</w:t>
            </w:r>
          </w:p>
        </w:tc>
        <w:tc>
          <w:tcPr>
            <w:tcW w:type="dxa" w:w="8460"/>
            <w:shd w:fill="F2F2F2" w:val="clear"/>
            <w:tcMar>
              <w:top w:type="dxa" w:w="70"/>
              <w:left w:type="dxa" w:w="100"/>
              <w:bottom w:type="dxa" w:w="70"/>
              <w:right w:type="dxa" w:w="100"/>
            </w:tcMar>
            <w:vAlign w:val="center"/>
          </w:tcPr>
          <w:p>
            <w:pPr>
              <w:spacing w:after="30"/>
            </w:pPr>
            <w:r>
              <w:rPr>
                <w:color w:val="2A2A2A"/>
                <w:sz w:val="17"/>
                <w:szCs w:val="17"/>
              </w:rPr>
              <w:t xml:space="preserve">A student's academic access — report card, quiz participation, leaderboard visibility — is never gated by fee-payment status. Fee enforcement and academic experience are structurally separate systems; a child should never learn they're "locked out" of anything because of a parent's unpaid balance.</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SF-5</w:t>
            </w:r>
          </w:p>
        </w:tc>
        <w:tc>
          <w:tcPr>
            <w:tcW w:type="dxa" w:w="8460"/>
            <w:shd w:fill="FFFFFF" w:val="clear"/>
            <w:tcMar>
              <w:top w:type="dxa" w:w="70"/>
              <w:left w:type="dxa" w:w="100"/>
              <w:bottom w:type="dxa" w:w="70"/>
              <w:right w:type="dxa" w:w="100"/>
            </w:tcMar>
            <w:vAlign w:val="center"/>
          </w:tcPr>
          <w:p>
            <w:pPr>
              <w:spacing w:after="30"/>
            </w:pPr>
            <w:r>
              <w:rPr>
                <w:color w:val="2A2A2A"/>
                <w:sz w:val="17"/>
                <w:szCs w:val="17"/>
              </w:rPr>
              <w:t xml:space="preserve">Fees Vault funds sit in a segregated, purpose-tagged ledger sub-account, never commingled with general wallet float; disbursement-to-invoice is a first-class ledger event.</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SF-6</w:t>
            </w:r>
          </w:p>
        </w:tc>
        <w:tc>
          <w:tcPr>
            <w:tcW w:type="dxa" w:w="8460"/>
            <w:shd w:fill="F2F2F2" w:val="clear"/>
            <w:tcMar>
              <w:top w:type="dxa" w:w="70"/>
              <w:left w:type="dxa" w:w="100"/>
              <w:bottom w:type="dxa" w:w="70"/>
              <w:right w:type="dxa" w:w="100"/>
            </w:tcMar>
            <w:vAlign w:val="center"/>
          </w:tcPr>
          <w:p>
            <w:pPr>
              <w:spacing w:after="30"/>
            </w:pPr>
            <w:r>
              <w:rPr>
                <w:color w:val="2A2A2A"/>
                <w:sz w:val="17"/>
                <w:szCs w:val="17"/>
              </w:rPr>
              <w:t xml:space="preserve">Installment terms (premium %, schedule) are locked and fully disclosed at invoice issuance — no silent mid-plan repricing.</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SF-7</w:t>
            </w:r>
          </w:p>
        </w:tc>
        <w:tc>
          <w:tcPr>
            <w:tcW w:type="dxa" w:w="8460"/>
            <w:shd w:fill="FFFFFF" w:val="clear"/>
            <w:tcMar>
              <w:top w:type="dxa" w:w="70"/>
              <w:left w:type="dxa" w:w="100"/>
              <w:bottom w:type="dxa" w:w="70"/>
              <w:right w:type="dxa" w:w="100"/>
            </w:tcMar>
            <w:vAlign w:val="center"/>
          </w:tcPr>
          <w:p>
            <w:pPr>
              <w:spacing w:after="30"/>
            </w:pPr>
            <w:r>
              <w:rPr>
                <w:color w:val="2A2A2A"/>
                <w:sz w:val="17"/>
                <w:szCs w:val="17"/>
              </w:rPr>
              <w:t xml:space="preserve">Cross-school leaderboards display first name plus school only by default — no full identity, photo, or contact detail of a minor is shown publicly without explicit parental consent.</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SF-8</w:t>
            </w:r>
          </w:p>
        </w:tc>
        <w:tc>
          <w:tcPr>
            <w:tcW w:type="dxa" w:w="8460"/>
            <w:shd w:fill="F2F2F2" w:val="clear"/>
            <w:tcMar>
              <w:top w:type="dxa" w:w="70"/>
              <w:left w:type="dxa" w:w="100"/>
              <w:bottom w:type="dxa" w:w="70"/>
              <w:right w:type="dxa" w:w="100"/>
            </w:tcMar>
            <w:vAlign w:val="center"/>
          </w:tcPr>
          <w:p>
            <w:pPr>
              <w:spacing w:after="30"/>
            </w:pPr>
            <w:r>
              <w:rPr>
                <w:color w:val="2A2A2A"/>
                <w:sz w:val="17"/>
                <w:szCs w:val="17"/>
              </w:rPr>
              <w:t xml:space="preserve">All financial operations reconcile nightly against provider webhooks, matching the reconciliation discipline already standard across Paymax.</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SF-9</w:t>
            </w:r>
          </w:p>
        </w:tc>
        <w:tc>
          <w:tcPr>
            <w:tcW w:type="dxa" w:w="8460"/>
            <w:shd w:fill="FFFFFF" w:val="clear"/>
            <w:tcMar>
              <w:top w:type="dxa" w:w="70"/>
              <w:left w:type="dxa" w:w="100"/>
              <w:bottom w:type="dxa" w:w="70"/>
              <w:right w:type="dxa" w:w="100"/>
            </w:tcMar>
            <w:vAlign w:val="center"/>
          </w:tcPr>
          <w:p>
            <w:pPr>
              <w:spacing w:after="30"/>
            </w:pPr>
            <w:r>
              <w:rPr>
                <w:color w:val="2A2A2A"/>
                <w:sz w:val="17"/>
                <w:szCs w:val="17"/>
              </w:rPr>
              <w:t xml:space="preserve">Hardship / fee-freeze requests route to a human review queue — never handled by a purely automated dunning flow.</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SF-10</w:t>
            </w:r>
          </w:p>
        </w:tc>
        <w:tc>
          <w:tcPr>
            <w:tcW w:type="dxa" w:w="8460"/>
            <w:shd w:fill="F2F2F2" w:val="clear"/>
            <w:tcMar>
              <w:top w:type="dxa" w:w="70"/>
              <w:left w:type="dxa" w:w="100"/>
              <w:bottom w:type="dxa" w:w="70"/>
              <w:right w:type="dxa" w:w="100"/>
            </w:tcMar>
            <w:vAlign w:val="center"/>
          </w:tcPr>
          <w:p>
            <w:pPr>
              <w:spacing w:after="30"/>
            </w:pPr>
            <w:r>
              <w:rPr>
                <w:color w:val="2A2A2A"/>
                <w:sz w:val="17"/>
                <w:szCs w:val="17"/>
              </w:rPr>
              <w:t xml:space="preserve">A school's own data (roster, fees, results) is fully exportable on request — Paymax is infrastructure, not a lock-in play.</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SF-11</w:t>
            </w:r>
          </w:p>
        </w:tc>
        <w:tc>
          <w:tcPr>
            <w:tcW w:type="dxa" w:w="8460"/>
            <w:shd w:fill="FFFFFF" w:val="clear"/>
            <w:tcMar>
              <w:top w:type="dxa" w:w="70"/>
              <w:left w:type="dxa" w:w="100"/>
              <w:bottom w:type="dxa" w:w="70"/>
              <w:right w:type="dxa" w:w="100"/>
            </w:tcMar>
            <w:vAlign w:val="center"/>
          </w:tcPr>
          <w:p>
            <w:pPr>
              <w:spacing w:after="30"/>
            </w:pPr>
            <w:r>
              <w:rPr>
                <w:color w:val="2A2A2A"/>
                <w:sz w:val="17"/>
                <w:szCs w:val="17"/>
              </w:rPr>
              <w:t xml:space="preserve">Government/regulator reporting sync is opt-in per school, per data category — never enabled or harvested by default.</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SF-12</w:t>
            </w:r>
          </w:p>
        </w:tc>
        <w:tc>
          <w:tcPr>
            <w:tcW w:type="dxa" w:w="8460"/>
            <w:shd w:fill="F2F2F2" w:val="clear"/>
            <w:tcMar>
              <w:top w:type="dxa" w:w="70"/>
              <w:left w:type="dxa" w:w="100"/>
              <w:bottom w:type="dxa" w:w="70"/>
              <w:right w:type="dxa" w:w="100"/>
            </w:tcMar>
            <w:vAlign w:val="center"/>
          </w:tcPr>
          <w:p>
            <w:pPr>
              <w:spacing w:after="30"/>
            </w:pPr>
            <w:r>
              <w:rPr>
                <w:color w:val="2A2A2A"/>
                <w:sz w:val="17"/>
                <w:szCs w:val="17"/>
              </w:rPr>
              <w:t xml:space="preserve">Any automated academic-plus-payment "at-risk" correlation flag goes privately to a school counselor/admin only — never to the student, never auto-actioned, never shared externally.</w:t>
            </w:r>
          </w:p>
        </w:tc>
      </w:tr>
    </w:tbl>
    <w:p>
      <w:pPr>
        <w:pStyle w:val="Heading1"/>
        <w:pBdr>
          <w:bottom w:val="single" w:color="C9A227" w:sz="6" w:space="4"/>
        </w:pBdr>
        <w:spacing w:after="160" w:before="420"/>
      </w:pPr>
      <w:r>
        <w:rPr>
          <w:b/>
          <w:bCs/>
          <w:color w:val="0B2545"/>
          <w:sz w:val="30"/>
          <w:szCs w:val="30"/>
        </w:rPr>
        <w:t xml:space="preserve">7. Mobile UI/UX — Screen Inventory</w:t>
      </w:r>
    </w:p>
    <w:p>
      <w:pPr>
        <w:spacing w:after="160" w:line="300"/>
      </w:pPr>
      <w:r>
        <w:rPr>
          <w:b w:val="false"/>
          <w:bCs w:val="false"/>
          <w:i w:val="false"/>
          <w:iCs w:val="false"/>
          <w:color w:val="1A1A1A"/>
          <w:sz w:val="21"/>
          <w:szCs w:val="21"/>
        </w:rPr>
        <w:t xml:space="preserve">This inventory covers only the screens this module adds. It assumes and extends Spotlight Academy's existing ~120 student-facing learning/quiz screens and 28-module admin console — those are not reproduced here.</w:t>
      </w:r>
    </w:p>
    <w:p>
      <w:pPr>
        <w:pStyle w:val="Heading2"/>
        <w:spacing w:after="120" w:before="280"/>
      </w:pPr>
      <w:r>
        <w:rPr>
          <w:b/>
          <w:bCs/>
          <w:color w:val="13315C"/>
          <w:sz w:val="25"/>
          <w:szCs w:val="25"/>
        </w:rPr>
        <w:t xml:space="preserve">7.1 Parent App (prefix PA-)</w:t>
      </w:r>
    </w:p>
    <w:tbl>
      <w:tblPr>
        <w:tblW w:type="dxa" w:w="9360"/>
        <w:tblBorders>
          <w:top w:val="single" w:color="D5DCE3" w:sz="2"/>
          <w:left w:val="single" w:color="D5DCE3" w:sz="2"/>
          <w:bottom w:val="single" w:color="D5DCE3" w:sz="2"/>
          <w:right w:val="single" w:color="D5DCE3" w:sz="2"/>
          <w:insideH w:val="single" w:color="D5DCE3" w:sz="2"/>
          <w:insideV w:val="single" w:color="D5DCE3" w:sz="2"/>
        </w:tblBorders>
      </w:tblPr>
      <w:tblGrid>
        <w:gridCol w:w="900"/>
        <w:gridCol w:w="3200"/>
        <w:gridCol w:w="5260"/>
      </w:tblGrid>
      <w:tr>
        <w:trPr>
          <w:tblHeader/>
        </w:trPr>
        <w:tc>
          <w:tcPr>
            <w:tcW w:type="dxa" w:w="900"/>
            <w:shd w:fill="0B2545" w:val="clear"/>
            <w:tcMar>
              <w:top w:type="dxa" w:w="70"/>
              <w:left w:type="dxa" w:w="100"/>
              <w:bottom w:type="dxa" w:w="70"/>
              <w:right w:type="dxa" w:w="100"/>
            </w:tcMar>
            <w:vAlign w:val="center"/>
          </w:tcPr>
          <w:p>
            <w:r>
              <w:rPr>
                <w:b/>
                <w:bCs/>
                <w:color w:val="FFFFFF"/>
                <w:sz w:val="17"/>
                <w:szCs w:val="17"/>
              </w:rPr>
              <w:t xml:space="preserve">ID</w:t>
            </w:r>
          </w:p>
        </w:tc>
        <w:tc>
          <w:tcPr>
            <w:tcW w:type="dxa" w:w="3200"/>
            <w:shd w:fill="0B2545" w:val="clear"/>
            <w:tcMar>
              <w:top w:type="dxa" w:w="70"/>
              <w:left w:type="dxa" w:w="100"/>
              <w:bottom w:type="dxa" w:w="70"/>
              <w:right w:type="dxa" w:w="100"/>
            </w:tcMar>
            <w:vAlign w:val="center"/>
          </w:tcPr>
          <w:p>
            <w:r>
              <w:rPr>
                <w:b/>
                <w:bCs/>
                <w:color w:val="FFFFFF"/>
                <w:sz w:val="17"/>
                <w:szCs w:val="17"/>
              </w:rPr>
              <w:t xml:space="preserve">Screen</w:t>
            </w:r>
          </w:p>
        </w:tc>
        <w:tc>
          <w:tcPr>
            <w:tcW w:type="dxa" w:w="5260"/>
            <w:shd w:fill="0B2545" w:val="clear"/>
            <w:tcMar>
              <w:top w:type="dxa" w:w="70"/>
              <w:left w:type="dxa" w:w="100"/>
              <w:bottom w:type="dxa" w:w="70"/>
              <w:right w:type="dxa" w:w="100"/>
            </w:tcMar>
            <w:vAlign w:val="center"/>
          </w:tcPr>
          <w:p>
            <w:r>
              <w:rPr>
                <w:b/>
                <w:bCs/>
                <w:color w:val="FFFFFF"/>
                <w:sz w:val="17"/>
                <w:szCs w:val="17"/>
              </w:rPr>
              <w:t xml:space="preserve">Purpose &amp; key states</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PA-01</w:t>
            </w:r>
          </w:p>
        </w:tc>
        <w:tc>
          <w:tcPr>
            <w:tcW w:type="dxa" w:w="3200"/>
            <w:shd w:fill="FFFFFF" w:val="clear"/>
            <w:tcMar>
              <w:top w:type="dxa" w:w="70"/>
              <w:left w:type="dxa" w:w="100"/>
              <w:bottom w:type="dxa" w:w="70"/>
              <w:right w:type="dxa" w:w="100"/>
            </w:tcMar>
            <w:vAlign w:val="center"/>
          </w:tcPr>
          <w:p>
            <w:pPr>
              <w:spacing w:after="30"/>
            </w:pPr>
            <w:r>
              <w:rPr>
                <w:color w:val="2A2A2A"/>
                <w:sz w:val="17"/>
                <w:szCs w:val="17"/>
              </w:rPr>
              <w:t xml:space="preserve">Onboarding / Registration</w:t>
            </w:r>
          </w:p>
        </w:tc>
        <w:tc>
          <w:tcPr>
            <w:tcW w:type="dxa" w:w="5260"/>
            <w:shd w:fill="FFFFFF" w:val="clear"/>
            <w:tcMar>
              <w:top w:type="dxa" w:w="70"/>
              <w:left w:type="dxa" w:w="100"/>
              <w:bottom w:type="dxa" w:w="70"/>
              <w:right w:type="dxa" w:w="100"/>
            </w:tcMar>
            <w:vAlign w:val="center"/>
          </w:tcPr>
          <w:p>
            <w:pPr>
              <w:spacing w:after="30"/>
            </w:pPr>
            <w:r>
              <w:rPr>
                <w:color w:val="2A2A2A"/>
                <w:sz w:val="17"/>
                <w:szCs w:val="17"/>
              </w:rPr>
              <w:t xml:space="preserve">Phone-based signup, Tier-1 KYC, reuses Paymax SSO</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PA-02</w:t>
            </w:r>
          </w:p>
        </w:tc>
        <w:tc>
          <w:tcPr>
            <w:tcW w:type="dxa" w:w="3200"/>
            <w:shd w:fill="F2F2F2" w:val="clear"/>
            <w:tcMar>
              <w:top w:type="dxa" w:w="70"/>
              <w:left w:type="dxa" w:w="100"/>
              <w:bottom w:type="dxa" w:w="70"/>
              <w:right w:type="dxa" w:w="100"/>
            </w:tcMar>
            <w:vAlign w:val="center"/>
          </w:tcPr>
          <w:p>
            <w:pPr>
              <w:spacing w:after="30"/>
            </w:pPr>
            <w:r>
              <w:rPr>
                <w:color w:val="2A2A2A"/>
                <w:sz w:val="17"/>
                <w:szCs w:val="17"/>
              </w:rPr>
              <w:t xml:space="preserve">Link Child to School</w:t>
            </w:r>
          </w:p>
        </w:tc>
        <w:tc>
          <w:tcPr>
            <w:tcW w:type="dxa" w:w="5260"/>
            <w:shd w:fill="F2F2F2" w:val="clear"/>
            <w:tcMar>
              <w:top w:type="dxa" w:w="70"/>
              <w:left w:type="dxa" w:w="100"/>
              <w:bottom w:type="dxa" w:w="70"/>
              <w:right w:type="dxa" w:w="100"/>
            </w:tcMar>
            <w:vAlign w:val="center"/>
          </w:tcPr>
          <w:p>
            <w:pPr>
              <w:spacing w:after="30"/>
            </w:pPr>
            <w:r>
              <w:rPr>
                <w:color w:val="2A2A2A"/>
                <w:sz w:val="17"/>
                <w:szCs w:val="17"/>
              </w:rPr>
              <w:t xml:space="preserve">Enter school/class invite code or scan QR; enters admin-approval queue</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PA-03</w:t>
            </w:r>
          </w:p>
        </w:tc>
        <w:tc>
          <w:tcPr>
            <w:tcW w:type="dxa" w:w="3200"/>
            <w:shd w:fill="FFFFFF" w:val="clear"/>
            <w:tcMar>
              <w:top w:type="dxa" w:w="70"/>
              <w:left w:type="dxa" w:w="100"/>
              <w:bottom w:type="dxa" w:w="70"/>
              <w:right w:type="dxa" w:w="100"/>
            </w:tcMar>
            <w:vAlign w:val="center"/>
          </w:tcPr>
          <w:p>
            <w:pPr>
              <w:spacing w:after="30"/>
            </w:pPr>
            <w:r>
              <w:rPr>
                <w:color w:val="2A2A2A"/>
                <w:sz w:val="17"/>
                <w:szCs w:val="17"/>
              </w:rPr>
              <w:t xml:space="preserve">Family Dashboard</w:t>
            </w:r>
          </w:p>
        </w:tc>
        <w:tc>
          <w:tcPr>
            <w:tcW w:type="dxa" w:w="5260"/>
            <w:shd w:fill="FFFFFF" w:val="clear"/>
            <w:tcMar>
              <w:top w:type="dxa" w:w="70"/>
              <w:left w:type="dxa" w:w="100"/>
              <w:bottom w:type="dxa" w:w="70"/>
              <w:right w:type="dxa" w:w="100"/>
            </w:tcMar>
            <w:vAlign w:val="center"/>
          </w:tcPr>
          <w:p>
            <w:pPr>
              <w:spacing w:after="30"/>
            </w:pPr>
            <w:r>
              <w:rPr>
                <w:color w:val="2A2A2A"/>
                <w:sz w:val="17"/>
                <w:szCs w:val="17"/>
              </w:rPr>
              <w:t xml:space="preserve">Every child, every school, consolidated balance-due and Vault status at a glance</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PA-04</w:t>
            </w:r>
          </w:p>
        </w:tc>
        <w:tc>
          <w:tcPr>
            <w:tcW w:type="dxa" w:w="3200"/>
            <w:shd w:fill="F2F2F2" w:val="clear"/>
            <w:tcMar>
              <w:top w:type="dxa" w:w="70"/>
              <w:left w:type="dxa" w:w="100"/>
              <w:bottom w:type="dxa" w:w="70"/>
              <w:right w:type="dxa" w:w="100"/>
            </w:tcMar>
            <w:vAlign w:val="center"/>
          </w:tcPr>
          <w:p>
            <w:pPr>
              <w:spacing w:after="30"/>
            </w:pPr>
            <w:r>
              <w:rPr>
                <w:color w:val="2A2A2A"/>
                <w:sz w:val="17"/>
                <w:szCs w:val="17"/>
              </w:rPr>
              <w:t xml:space="preserve">Child Fee Detail</w:t>
            </w:r>
          </w:p>
        </w:tc>
        <w:tc>
          <w:tcPr>
            <w:tcW w:type="dxa" w:w="5260"/>
            <w:shd w:fill="F2F2F2" w:val="clear"/>
            <w:tcMar>
              <w:top w:type="dxa" w:w="70"/>
              <w:left w:type="dxa" w:w="100"/>
              <w:bottom w:type="dxa" w:w="70"/>
              <w:right w:type="dxa" w:w="100"/>
            </w:tcMar>
            <w:vAlign w:val="center"/>
          </w:tcPr>
          <w:p>
            <w:pPr>
              <w:spacing w:after="30"/>
            </w:pPr>
            <w:r>
              <w:rPr>
                <w:color w:val="2A2A2A"/>
                <w:sz w:val="17"/>
                <w:szCs w:val="17"/>
              </w:rPr>
              <w:t xml:space="preserve">Itemized invoice breakdown by term — tuition, levy, feeding, transport, etc.</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PA-05</w:t>
            </w:r>
          </w:p>
        </w:tc>
        <w:tc>
          <w:tcPr>
            <w:tcW w:type="dxa" w:w="3200"/>
            <w:shd w:fill="FFFFFF" w:val="clear"/>
            <w:tcMar>
              <w:top w:type="dxa" w:w="70"/>
              <w:left w:type="dxa" w:w="100"/>
              <w:bottom w:type="dxa" w:w="70"/>
              <w:right w:type="dxa" w:w="100"/>
            </w:tcMar>
            <w:vAlign w:val="center"/>
          </w:tcPr>
          <w:p>
            <w:pPr>
              <w:spacing w:after="30"/>
            </w:pPr>
            <w:r>
              <w:rPr>
                <w:color w:val="2A2A2A"/>
                <w:sz w:val="17"/>
                <w:szCs w:val="17"/>
              </w:rPr>
              <w:t xml:space="preserve">Pay Now</w:t>
            </w:r>
          </w:p>
        </w:tc>
        <w:tc>
          <w:tcPr>
            <w:tcW w:type="dxa" w:w="5260"/>
            <w:shd w:fill="FFFFFF" w:val="clear"/>
            <w:tcMar>
              <w:top w:type="dxa" w:w="70"/>
              <w:left w:type="dxa" w:w="100"/>
              <w:bottom w:type="dxa" w:w="70"/>
              <w:right w:type="dxa" w:w="100"/>
            </w:tcMar>
            <w:vAlign w:val="center"/>
          </w:tcPr>
          <w:p>
            <w:pPr>
              <w:spacing w:after="30"/>
            </w:pPr>
            <w:r>
              <w:rPr>
                <w:color w:val="2A2A2A"/>
                <w:sz w:val="17"/>
                <w:szCs w:val="17"/>
              </w:rPr>
              <w:t xml:space="preserve">Full payment via card/transfer/USSD/wallet, instant receipt</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PA-06</w:t>
            </w:r>
          </w:p>
        </w:tc>
        <w:tc>
          <w:tcPr>
            <w:tcW w:type="dxa" w:w="3200"/>
            <w:shd w:fill="F2F2F2" w:val="clear"/>
            <w:tcMar>
              <w:top w:type="dxa" w:w="70"/>
              <w:left w:type="dxa" w:w="100"/>
              <w:bottom w:type="dxa" w:w="70"/>
              <w:right w:type="dxa" w:w="100"/>
            </w:tcMar>
            <w:vAlign w:val="center"/>
          </w:tcPr>
          <w:p>
            <w:pPr>
              <w:spacing w:after="30"/>
            </w:pPr>
            <w:r>
              <w:rPr>
                <w:color w:val="2A2A2A"/>
                <w:sz w:val="17"/>
                <w:szCs w:val="17"/>
              </w:rPr>
              <w:t xml:space="preserve">Installment Plan Setup</w:t>
            </w:r>
          </w:p>
        </w:tc>
        <w:tc>
          <w:tcPr>
            <w:tcW w:type="dxa" w:w="5260"/>
            <w:shd w:fill="F2F2F2" w:val="clear"/>
            <w:tcMar>
              <w:top w:type="dxa" w:w="70"/>
              <w:left w:type="dxa" w:w="100"/>
              <w:bottom w:type="dxa" w:w="70"/>
              <w:right w:type="dxa" w:w="100"/>
            </w:tcMar>
            <w:vAlign w:val="center"/>
          </w:tcPr>
          <w:p>
            <w:pPr>
              <w:spacing w:after="30"/>
            </w:pPr>
            <w:r>
              <w:rPr>
                <w:color w:val="2A2A2A"/>
                <w:sz w:val="17"/>
                <w:szCs w:val="17"/>
              </w:rPr>
              <w:t xml:space="preserve">Choose schedule, see disclosed premium and full repayment table before confirming</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PA-07</w:t>
            </w:r>
          </w:p>
        </w:tc>
        <w:tc>
          <w:tcPr>
            <w:tcW w:type="dxa" w:w="3200"/>
            <w:shd w:fill="FFFFFF" w:val="clear"/>
            <w:tcMar>
              <w:top w:type="dxa" w:w="70"/>
              <w:left w:type="dxa" w:w="100"/>
              <w:bottom w:type="dxa" w:w="70"/>
              <w:right w:type="dxa" w:w="100"/>
            </w:tcMar>
            <w:vAlign w:val="center"/>
          </w:tcPr>
          <w:p>
            <w:pPr>
              <w:spacing w:after="30"/>
            </w:pPr>
            <w:r>
              <w:rPr>
                <w:color w:val="2A2A2A"/>
                <w:sz w:val="17"/>
                <w:szCs w:val="17"/>
              </w:rPr>
              <w:t xml:space="preserve">Fees Vault Home</w:t>
            </w:r>
          </w:p>
        </w:tc>
        <w:tc>
          <w:tcPr>
            <w:tcW w:type="dxa" w:w="5260"/>
            <w:shd w:fill="FFFFFF" w:val="clear"/>
            <w:tcMar>
              <w:top w:type="dxa" w:w="70"/>
              <w:left w:type="dxa" w:w="100"/>
              <w:bottom w:type="dxa" w:w="70"/>
              <w:right w:type="dxa" w:w="100"/>
            </w:tcMar>
            <w:vAlign w:val="center"/>
          </w:tcPr>
          <w:p>
            <w:pPr>
              <w:spacing w:after="30"/>
            </w:pPr>
            <w:r>
              <w:rPr>
                <w:color w:val="2A2A2A"/>
                <w:sz w:val="17"/>
                <w:szCs w:val="17"/>
              </w:rPr>
              <w:t xml:space="preserve">Balance, target, projected completion date, per child or family-level</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PA-08</w:t>
            </w:r>
          </w:p>
        </w:tc>
        <w:tc>
          <w:tcPr>
            <w:tcW w:type="dxa" w:w="3200"/>
            <w:shd w:fill="F2F2F2" w:val="clear"/>
            <w:tcMar>
              <w:top w:type="dxa" w:w="70"/>
              <w:left w:type="dxa" w:w="100"/>
              <w:bottom w:type="dxa" w:w="70"/>
              <w:right w:type="dxa" w:w="100"/>
            </w:tcMar>
            <w:vAlign w:val="center"/>
          </w:tcPr>
          <w:p>
            <w:pPr>
              <w:spacing w:after="30"/>
            </w:pPr>
            <w:r>
              <w:rPr>
                <w:color w:val="2A2A2A"/>
                <w:sz w:val="17"/>
                <w:szCs w:val="17"/>
              </w:rPr>
              <w:t xml:space="preserve">Fees Vault Auto-Save Rules</w:t>
            </w:r>
          </w:p>
        </w:tc>
        <w:tc>
          <w:tcPr>
            <w:tcW w:type="dxa" w:w="5260"/>
            <w:shd w:fill="F2F2F2" w:val="clear"/>
            <w:tcMar>
              <w:top w:type="dxa" w:w="70"/>
              <w:left w:type="dxa" w:w="100"/>
              <w:bottom w:type="dxa" w:w="70"/>
              <w:right w:type="dxa" w:w="100"/>
            </w:tcMar>
            <w:vAlign w:val="center"/>
          </w:tcPr>
          <w:p>
            <w:pPr>
              <w:spacing w:after="30"/>
            </w:pPr>
            <w:r>
              <w:rPr>
                <w:color w:val="2A2A2A"/>
                <w:sz w:val="17"/>
                <w:szCs w:val="17"/>
              </w:rPr>
              <w:t xml:space="preserve">Round-up toggle, scheduled contribution amount/frequency</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PA-09</w:t>
            </w:r>
          </w:p>
        </w:tc>
        <w:tc>
          <w:tcPr>
            <w:tcW w:type="dxa" w:w="3200"/>
            <w:shd w:fill="FFFFFF" w:val="clear"/>
            <w:tcMar>
              <w:top w:type="dxa" w:w="70"/>
              <w:left w:type="dxa" w:w="100"/>
              <w:bottom w:type="dxa" w:w="70"/>
              <w:right w:type="dxa" w:w="100"/>
            </w:tcMar>
            <w:vAlign w:val="center"/>
          </w:tcPr>
          <w:p>
            <w:pPr>
              <w:spacing w:after="30"/>
            </w:pPr>
            <w:r>
              <w:rPr>
                <w:color w:val="2A2A2A"/>
                <w:sz w:val="17"/>
                <w:szCs w:val="17"/>
              </w:rPr>
              <w:t xml:space="preserve">Payment History &amp; Receipts</w:t>
            </w:r>
          </w:p>
        </w:tc>
        <w:tc>
          <w:tcPr>
            <w:tcW w:type="dxa" w:w="5260"/>
            <w:shd w:fill="FFFFFF" w:val="clear"/>
            <w:tcMar>
              <w:top w:type="dxa" w:w="70"/>
              <w:left w:type="dxa" w:w="100"/>
              <w:bottom w:type="dxa" w:w="70"/>
              <w:right w:type="dxa" w:w="100"/>
            </w:tcMar>
            <w:vAlign w:val="center"/>
          </w:tcPr>
          <w:p>
            <w:pPr>
              <w:spacing w:after="30"/>
            </w:pPr>
            <w:r>
              <w:rPr>
                <w:color w:val="2A2A2A"/>
                <w:sz w:val="17"/>
                <w:szCs w:val="17"/>
              </w:rPr>
              <w:t xml:space="preserve">Full transaction log, downloadable receipts</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PA-10</w:t>
            </w:r>
          </w:p>
        </w:tc>
        <w:tc>
          <w:tcPr>
            <w:tcW w:type="dxa" w:w="3200"/>
            <w:shd w:fill="F2F2F2" w:val="clear"/>
            <w:tcMar>
              <w:top w:type="dxa" w:w="70"/>
              <w:left w:type="dxa" w:w="100"/>
              <w:bottom w:type="dxa" w:w="70"/>
              <w:right w:type="dxa" w:w="100"/>
            </w:tcMar>
            <w:vAlign w:val="center"/>
          </w:tcPr>
          <w:p>
            <w:pPr>
              <w:spacing w:after="30"/>
            </w:pPr>
            <w:r>
              <w:rPr>
                <w:color w:val="2A2A2A"/>
                <w:sz w:val="17"/>
                <w:szCs w:val="17"/>
              </w:rPr>
              <w:t xml:space="preserve">Hardship / Fee Freeze Request</w:t>
            </w:r>
          </w:p>
        </w:tc>
        <w:tc>
          <w:tcPr>
            <w:tcW w:type="dxa" w:w="5260"/>
            <w:shd w:fill="F2F2F2" w:val="clear"/>
            <w:tcMar>
              <w:top w:type="dxa" w:w="70"/>
              <w:left w:type="dxa" w:w="100"/>
              <w:bottom w:type="dxa" w:w="70"/>
              <w:right w:type="dxa" w:w="100"/>
            </w:tcMar>
            <w:vAlign w:val="center"/>
          </w:tcPr>
          <w:p>
            <w:pPr>
              <w:spacing w:after="30"/>
            </w:pPr>
            <w:r>
              <w:rPr>
                <w:color w:val="2A2A2A"/>
                <w:sz w:val="17"/>
                <w:szCs w:val="17"/>
              </w:rPr>
              <w:t xml:space="preserve">Structured request routed to human review — never an automated dunning dead-end</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PA-11</w:t>
            </w:r>
          </w:p>
        </w:tc>
        <w:tc>
          <w:tcPr>
            <w:tcW w:type="dxa" w:w="3200"/>
            <w:shd w:fill="FFFFFF" w:val="clear"/>
            <w:tcMar>
              <w:top w:type="dxa" w:w="70"/>
              <w:left w:type="dxa" w:w="100"/>
              <w:bottom w:type="dxa" w:w="70"/>
              <w:right w:type="dxa" w:w="100"/>
            </w:tcMar>
            <w:vAlign w:val="center"/>
          </w:tcPr>
          <w:p>
            <w:pPr>
              <w:spacing w:after="30"/>
            </w:pPr>
            <w:r>
              <w:rPr>
                <w:color w:val="2A2A2A"/>
                <w:sz w:val="17"/>
                <w:szCs w:val="17"/>
              </w:rPr>
              <w:t xml:space="preserve">Report Card / Academic Progress</w:t>
            </w:r>
          </w:p>
        </w:tc>
        <w:tc>
          <w:tcPr>
            <w:tcW w:type="dxa" w:w="5260"/>
            <w:shd w:fill="FFFFFF" w:val="clear"/>
            <w:tcMar>
              <w:top w:type="dxa" w:w="70"/>
              <w:left w:type="dxa" w:w="100"/>
              <w:bottom w:type="dxa" w:w="70"/>
              <w:right w:type="dxa" w:w="100"/>
            </w:tcMar>
            <w:vAlign w:val="center"/>
          </w:tcPr>
          <w:p>
            <w:pPr>
              <w:spacing w:after="30"/>
            </w:pPr>
            <w:r>
              <w:rPr>
                <w:color w:val="2A2A2A"/>
                <w:sz w:val="17"/>
                <w:szCs w:val="17"/>
              </w:rPr>
              <w:t xml:space="preserve">Read-only view — never gated by payment status</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PA-12</w:t>
            </w:r>
          </w:p>
        </w:tc>
        <w:tc>
          <w:tcPr>
            <w:tcW w:type="dxa" w:w="3200"/>
            <w:shd w:fill="F2F2F2" w:val="clear"/>
            <w:tcMar>
              <w:top w:type="dxa" w:w="70"/>
              <w:left w:type="dxa" w:w="100"/>
              <w:bottom w:type="dxa" w:w="70"/>
              <w:right w:type="dxa" w:w="100"/>
            </w:tcMar>
            <w:vAlign w:val="center"/>
          </w:tcPr>
          <w:p>
            <w:pPr>
              <w:spacing w:after="30"/>
            </w:pPr>
            <w:r>
              <w:rPr>
                <w:color w:val="2A2A2A"/>
                <w:sz w:val="17"/>
                <w:szCs w:val="17"/>
              </w:rPr>
              <w:t xml:space="preserve">Child's Quiz &amp; Competition Activity</w:t>
            </w:r>
          </w:p>
        </w:tc>
        <w:tc>
          <w:tcPr>
            <w:tcW w:type="dxa" w:w="5260"/>
            <w:shd w:fill="F2F2F2" w:val="clear"/>
            <w:tcMar>
              <w:top w:type="dxa" w:w="70"/>
              <w:left w:type="dxa" w:w="100"/>
              <w:bottom w:type="dxa" w:w="70"/>
              <w:right w:type="dxa" w:w="100"/>
            </w:tcMar>
            <w:vAlign w:val="center"/>
          </w:tcPr>
          <w:p>
            <w:pPr>
              <w:spacing w:after="30"/>
            </w:pPr>
            <w:r>
              <w:rPr>
                <w:color w:val="2A2A2A"/>
                <w:sz w:val="17"/>
                <w:szCs w:val="17"/>
              </w:rPr>
              <w:t xml:space="preserve">Spectator view of leaderboard rank, badges, upcoming tournaments</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PA-13</w:t>
            </w:r>
          </w:p>
        </w:tc>
        <w:tc>
          <w:tcPr>
            <w:tcW w:type="dxa" w:w="3200"/>
            <w:shd w:fill="FFFFFF" w:val="clear"/>
            <w:tcMar>
              <w:top w:type="dxa" w:w="70"/>
              <w:left w:type="dxa" w:w="100"/>
              <w:bottom w:type="dxa" w:w="70"/>
              <w:right w:type="dxa" w:w="100"/>
            </w:tcMar>
            <w:vAlign w:val="center"/>
          </w:tcPr>
          <w:p>
            <w:pPr>
              <w:spacing w:after="30"/>
            </w:pPr>
            <w:r>
              <w:rPr>
                <w:color w:val="2A2A2A"/>
                <w:sz w:val="17"/>
                <w:szCs w:val="17"/>
              </w:rPr>
              <w:t xml:space="preserve">Notifications Center</w:t>
            </w:r>
          </w:p>
        </w:tc>
        <w:tc>
          <w:tcPr>
            <w:tcW w:type="dxa" w:w="5260"/>
            <w:shd w:fill="FFFFFF" w:val="clear"/>
            <w:tcMar>
              <w:top w:type="dxa" w:w="70"/>
              <w:left w:type="dxa" w:w="100"/>
              <w:bottom w:type="dxa" w:w="70"/>
              <w:right w:type="dxa" w:w="100"/>
            </w:tcMar>
            <w:vAlign w:val="center"/>
          </w:tcPr>
          <w:p>
            <w:pPr>
              <w:spacing w:after="30"/>
            </w:pPr>
            <w:r>
              <w:rPr>
                <w:color w:val="2A2A2A"/>
                <w:sz w:val="17"/>
                <w:szCs w:val="17"/>
              </w:rPr>
              <w:t xml:space="preserve">Due-date reminders, results, tournament alerts, promotion decisions</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PA-14</w:t>
            </w:r>
          </w:p>
        </w:tc>
        <w:tc>
          <w:tcPr>
            <w:tcW w:type="dxa" w:w="3200"/>
            <w:shd w:fill="F2F2F2" w:val="clear"/>
            <w:tcMar>
              <w:top w:type="dxa" w:w="70"/>
              <w:left w:type="dxa" w:w="100"/>
              <w:bottom w:type="dxa" w:w="70"/>
              <w:right w:type="dxa" w:w="100"/>
            </w:tcMar>
            <w:vAlign w:val="center"/>
          </w:tcPr>
          <w:p>
            <w:pPr>
              <w:spacing w:after="30"/>
            </w:pPr>
            <w:r>
              <w:rPr>
                <w:color w:val="2A2A2A"/>
                <w:sz w:val="17"/>
                <w:szCs w:val="17"/>
              </w:rPr>
              <w:t xml:space="preserve">Sponsor-a-Student</w:t>
            </w:r>
          </w:p>
        </w:tc>
        <w:tc>
          <w:tcPr>
            <w:tcW w:type="dxa" w:w="5260"/>
            <w:shd w:fill="F2F2F2" w:val="clear"/>
            <w:tcMar>
              <w:top w:type="dxa" w:w="70"/>
              <w:left w:type="dxa" w:w="100"/>
              <w:bottom w:type="dxa" w:w="70"/>
              <w:right w:type="dxa" w:w="100"/>
            </w:tcMar>
            <w:vAlign w:val="center"/>
          </w:tcPr>
          <w:p>
            <w:pPr>
              <w:spacing w:after="30"/>
            </w:pPr>
            <w:r>
              <w:rPr>
                <w:color w:val="2A2A2A"/>
                <w:sz w:val="17"/>
                <w:szCs w:val="17"/>
              </w:rPr>
              <w:t xml:space="preserve">Browse and fund a specific student's invoice or a school's prize pool</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PA-15</w:t>
            </w:r>
          </w:p>
        </w:tc>
        <w:tc>
          <w:tcPr>
            <w:tcW w:type="dxa" w:w="3200"/>
            <w:shd w:fill="FFFFFF" w:val="clear"/>
            <w:tcMar>
              <w:top w:type="dxa" w:w="70"/>
              <w:left w:type="dxa" w:w="100"/>
              <w:bottom w:type="dxa" w:w="70"/>
              <w:right w:type="dxa" w:w="100"/>
            </w:tcMar>
            <w:vAlign w:val="center"/>
          </w:tcPr>
          <w:p>
            <w:pPr>
              <w:spacing w:after="30"/>
            </w:pPr>
            <w:r>
              <w:rPr>
                <w:color w:val="2A2A2A"/>
                <w:sz w:val="17"/>
                <w:szCs w:val="17"/>
              </w:rPr>
              <w:t xml:space="preserve">Multi-Child Bulk Pay</w:t>
            </w:r>
          </w:p>
        </w:tc>
        <w:tc>
          <w:tcPr>
            <w:tcW w:type="dxa" w:w="5260"/>
            <w:shd w:fill="FFFFFF" w:val="clear"/>
            <w:tcMar>
              <w:top w:type="dxa" w:w="70"/>
              <w:left w:type="dxa" w:w="100"/>
              <w:bottom w:type="dxa" w:w="70"/>
              <w:right w:type="dxa" w:w="100"/>
            </w:tcMar>
            <w:vAlign w:val="center"/>
          </w:tcPr>
          <w:p>
            <w:pPr>
              <w:spacing w:after="30"/>
            </w:pPr>
            <w:r>
              <w:rPr>
                <w:color w:val="2A2A2A"/>
                <w:sz w:val="17"/>
                <w:szCs w:val="17"/>
              </w:rPr>
              <w:t xml:space="preserve">Pay several children's invoices, across schools, in one flow</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PA-16</w:t>
            </w:r>
          </w:p>
        </w:tc>
        <w:tc>
          <w:tcPr>
            <w:tcW w:type="dxa" w:w="3200"/>
            <w:shd w:fill="F2F2F2" w:val="clear"/>
            <w:tcMar>
              <w:top w:type="dxa" w:w="70"/>
              <w:left w:type="dxa" w:w="100"/>
              <w:bottom w:type="dxa" w:w="70"/>
              <w:right w:type="dxa" w:w="100"/>
            </w:tcMar>
            <w:vAlign w:val="center"/>
          </w:tcPr>
          <w:p>
            <w:pPr>
              <w:spacing w:after="30"/>
            </w:pPr>
            <w:r>
              <w:rPr>
                <w:color w:val="2A2A2A"/>
                <w:sz w:val="17"/>
                <w:szCs w:val="17"/>
              </w:rPr>
              <w:t xml:space="preserve">School Directory / Trust Score</w:t>
            </w:r>
          </w:p>
        </w:tc>
        <w:tc>
          <w:tcPr>
            <w:tcW w:type="dxa" w:w="5260"/>
            <w:shd w:fill="F2F2F2" w:val="clear"/>
            <w:tcMar>
              <w:top w:type="dxa" w:w="70"/>
              <w:left w:type="dxa" w:w="100"/>
              <w:bottom w:type="dxa" w:w="70"/>
              <w:right w:type="dxa" w:w="100"/>
            </w:tcMar>
            <w:vAlign w:val="center"/>
          </w:tcPr>
          <w:p>
            <w:pPr>
              <w:spacing w:after="30"/>
            </w:pPr>
            <w:r>
              <w:rPr>
                <w:color w:val="2A2A2A"/>
                <w:sz w:val="17"/>
                <w:szCs w:val="17"/>
              </w:rPr>
              <w:t xml:space="preserve">Compare School Trust Scores when evaluating a new school</w:t>
            </w:r>
          </w:p>
        </w:tc>
      </w:tr>
    </w:tbl>
    <w:p>
      <w:pPr>
        <w:pStyle w:val="Heading2"/>
        <w:spacing w:after="120" w:before="280"/>
      </w:pPr>
      <w:r>
        <w:rPr>
          <w:b/>
          <w:bCs/>
          <w:color w:val="13315C"/>
          <w:sz w:val="25"/>
          <w:szCs w:val="25"/>
        </w:rPr>
        <w:t xml:space="preserve">7.2 Student App — additions (prefix SA-, extends existing Academy IDs)</w:t>
      </w:r>
    </w:p>
    <w:tbl>
      <w:tblPr>
        <w:tblW w:type="dxa" w:w="9360"/>
        <w:tblBorders>
          <w:top w:val="single" w:color="D5DCE3" w:sz="2"/>
          <w:left w:val="single" w:color="D5DCE3" w:sz="2"/>
          <w:bottom w:val="single" w:color="D5DCE3" w:sz="2"/>
          <w:right w:val="single" w:color="D5DCE3" w:sz="2"/>
          <w:insideH w:val="single" w:color="D5DCE3" w:sz="2"/>
          <w:insideV w:val="single" w:color="D5DCE3" w:sz="2"/>
        </w:tblBorders>
      </w:tblPr>
      <w:tblGrid>
        <w:gridCol w:w="900"/>
        <w:gridCol w:w="3000"/>
        <w:gridCol w:w="5460"/>
      </w:tblGrid>
      <w:tr>
        <w:trPr>
          <w:tblHeader/>
        </w:trPr>
        <w:tc>
          <w:tcPr>
            <w:tcW w:type="dxa" w:w="900"/>
            <w:shd w:fill="0B2545" w:val="clear"/>
            <w:tcMar>
              <w:top w:type="dxa" w:w="70"/>
              <w:left w:type="dxa" w:w="100"/>
              <w:bottom w:type="dxa" w:w="70"/>
              <w:right w:type="dxa" w:w="100"/>
            </w:tcMar>
            <w:vAlign w:val="center"/>
          </w:tcPr>
          <w:p>
            <w:r>
              <w:rPr>
                <w:b/>
                <w:bCs/>
                <w:color w:val="FFFFFF"/>
                <w:sz w:val="17"/>
                <w:szCs w:val="17"/>
              </w:rPr>
              <w:t xml:space="preserve">ID</w:t>
            </w:r>
          </w:p>
        </w:tc>
        <w:tc>
          <w:tcPr>
            <w:tcW w:type="dxa" w:w="3000"/>
            <w:shd w:fill="0B2545" w:val="clear"/>
            <w:tcMar>
              <w:top w:type="dxa" w:w="70"/>
              <w:left w:type="dxa" w:w="100"/>
              <w:bottom w:type="dxa" w:w="70"/>
              <w:right w:type="dxa" w:w="100"/>
            </w:tcMar>
            <w:vAlign w:val="center"/>
          </w:tcPr>
          <w:p>
            <w:r>
              <w:rPr>
                <w:b/>
                <w:bCs/>
                <w:color w:val="FFFFFF"/>
                <w:sz w:val="17"/>
                <w:szCs w:val="17"/>
              </w:rPr>
              <w:t xml:space="preserve">Screen</w:t>
            </w:r>
          </w:p>
        </w:tc>
        <w:tc>
          <w:tcPr>
            <w:tcW w:type="dxa" w:w="5460"/>
            <w:shd w:fill="0B2545" w:val="clear"/>
            <w:tcMar>
              <w:top w:type="dxa" w:w="70"/>
              <w:left w:type="dxa" w:w="100"/>
              <w:bottom w:type="dxa" w:w="70"/>
              <w:right w:type="dxa" w:w="100"/>
            </w:tcMar>
            <w:vAlign w:val="center"/>
          </w:tcPr>
          <w:p>
            <w:r>
              <w:rPr>
                <w:b/>
                <w:bCs/>
                <w:color w:val="FFFFFF"/>
                <w:sz w:val="17"/>
                <w:szCs w:val="17"/>
              </w:rPr>
              <w:t xml:space="preserve">Purpose &amp; key states</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SA-121</w:t>
            </w:r>
          </w:p>
        </w:tc>
        <w:tc>
          <w:tcPr>
            <w:tcW w:type="dxa" w:w="3000"/>
            <w:shd w:fill="FFFFFF" w:val="clear"/>
            <w:tcMar>
              <w:top w:type="dxa" w:w="70"/>
              <w:left w:type="dxa" w:w="100"/>
              <w:bottom w:type="dxa" w:w="70"/>
              <w:right w:type="dxa" w:w="100"/>
            </w:tcMar>
            <w:vAlign w:val="center"/>
          </w:tcPr>
          <w:p>
            <w:pPr>
              <w:spacing w:after="30"/>
            </w:pPr>
            <w:r>
              <w:rPr>
                <w:color w:val="2A2A2A"/>
                <w:sz w:val="17"/>
                <w:szCs w:val="17"/>
              </w:rPr>
              <w:t xml:space="preserve">Cross-School Leaderboard</w:t>
            </w:r>
          </w:p>
        </w:tc>
        <w:tc>
          <w:tcPr>
            <w:tcW w:type="dxa" w:w="5460"/>
            <w:shd w:fill="FFFFFF" w:val="clear"/>
            <w:tcMar>
              <w:top w:type="dxa" w:w="70"/>
              <w:left w:type="dxa" w:w="100"/>
              <w:bottom w:type="dxa" w:w="70"/>
              <w:right w:type="dxa" w:w="100"/>
            </w:tcMar>
            <w:vAlign w:val="center"/>
          </w:tcPr>
          <w:p>
            <w:pPr>
              <w:spacing w:after="30"/>
            </w:pPr>
            <w:r>
              <w:rPr>
                <w:color w:val="2A2A2A"/>
                <w:sz w:val="17"/>
                <w:szCs w:val="17"/>
              </w:rPr>
              <w:t xml:space="preserve">City / state / national tabs, filterable by subject and class level</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SA-122</w:t>
            </w:r>
          </w:p>
        </w:tc>
        <w:tc>
          <w:tcPr>
            <w:tcW w:type="dxa" w:w="3000"/>
            <w:shd w:fill="F2F2F2" w:val="clear"/>
            <w:tcMar>
              <w:top w:type="dxa" w:w="70"/>
              <w:left w:type="dxa" w:w="100"/>
              <w:bottom w:type="dxa" w:w="70"/>
              <w:right w:type="dxa" w:w="100"/>
            </w:tcMar>
            <w:vAlign w:val="center"/>
          </w:tcPr>
          <w:p>
            <w:pPr>
              <w:spacing w:after="30"/>
            </w:pPr>
            <w:r>
              <w:rPr>
                <w:color w:val="2A2A2A"/>
                <w:sz w:val="17"/>
                <w:szCs w:val="17"/>
              </w:rPr>
              <w:t xml:space="preserve">Tournament Hub</w:t>
            </w:r>
          </w:p>
        </w:tc>
        <w:tc>
          <w:tcPr>
            <w:tcW w:type="dxa" w:w="5460"/>
            <w:shd w:fill="F2F2F2" w:val="clear"/>
            <w:tcMar>
              <w:top w:type="dxa" w:w="70"/>
              <w:left w:type="dxa" w:w="100"/>
              <w:bottom w:type="dxa" w:w="70"/>
              <w:right w:type="dxa" w:w="100"/>
            </w:tcMar>
            <w:vAlign w:val="center"/>
          </w:tcPr>
          <w:p>
            <w:pPr>
              <w:spacing w:after="30"/>
            </w:pPr>
            <w:r>
              <w:rPr>
                <w:color w:val="2A2A2A"/>
                <w:sz w:val="17"/>
                <w:szCs w:val="17"/>
              </w:rPr>
              <w:t xml:space="preserve">Browse open competitions, registration status, bracket view</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SA-123</w:t>
            </w:r>
          </w:p>
        </w:tc>
        <w:tc>
          <w:tcPr>
            <w:tcW w:type="dxa" w:w="3000"/>
            <w:shd w:fill="FFFFFF" w:val="clear"/>
            <w:tcMar>
              <w:top w:type="dxa" w:w="70"/>
              <w:left w:type="dxa" w:w="100"/>
              <w:bottom w:type="dxa" w:w="70"/>
              <w:right w:type="dxa" w:w="100"/>
            </w:tcMar>
            <w:vAlign w:val="center"/>
          </w:tcPr>
          <w:p>
            <w:pPr>
              <w:spacing w:after="30"/>
            </w:pPr>
            <w:r>
              <w:rPr>
                <w:color w:val="2A2A2A"/>
                <w:sz w:val="17"/>
                <w:szCs w:val="17"/>
              </w:rPr>
              <w:t xml:space="preserve">My School Rank &amp; House Points</w:t>
            </w:r>
          </w:p>
        </w:tc>
        <w:tc>
          <w:tcPr>
            <w:tcW w:type="dxa" w:w="5460"/>
            <w:shd w:fill="FFFFFF" w:val="clear"/>
            <w:tcMar>
              <w:top w:type="dxa" w:w="70"/>
              <w:left w:type="dxa" w:w="100"/>
              <w:bottom w:type="dxa" w:w="70"/>
              <w:right w:type="dxa" w:w="100"/>
            </w:tcMar>
            <w:vAlign w:val="center"/>
          </w:tcPr>
          <w:p>
            <w:pPr>
              <w:spacing w:after="30"/>
            </w:pPr>
            <w:r>
              <w:rPr>
                <w:color w:val="2A2A2A"/>
                <w:sz w:val="17"/>
                <w:szCs w:val="17"/>
              </w:rPr>
              <w:t xml:space="preserve">Individual and house-level standing</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SA-124</w:t>
            </w:r>
          </w:p>
        </w:tc>
        <w:tc>
          <w:tcPr>
            <w:tcW w:type="dxa" w:w="3000"/>
            <w:shd w:fill="F2F2F2" w:val="clear"/>
            <w:tcMar>
              <w:top w:type="dxa" w:w="70"/>
              <w:left w:type="dxa" w:w="100"/>
              <w:bottom w:type="dxa" w:w="70"/>
              <w:right w:type="dxa" w:w="100"/>
            </w:tcMar>
            <w:vAlign w:val="center"/>
          </w:tcPr>
          <w:p>
            <w:pPr>
              <w:spacing w:after="30"/>
            </w:pPr>
            <w:r>
              <w:rPr>
                <w:color w:val="2A2A2A"/>
                <w:sz w:val="17"/>
                <w:szCs w:val="17"/>
              </w:rPr>
              <w:t xml:space="preserve">Badges &amp; Digital Certificates</w:t>
            </w:r>
          </w:p>
        </w:tc>
        <w:tc>
          <w:tcPr>
            <w:tcW w:type="dxa" w:w="5460"/>
            <w:shd w:fill="F2F2F2" w:val="clear"/>
            <w:tcMar>
              <w:top w:type="dxa" w:w="70"/>
              <w:left w:type="dxa" w:w="100"/>
              <w:bottom w:type="dxa" w:w="70"/>
              <w:right w:type="dxa" w:w="100"/>
            </w:tcMar>
            <w:vAlign w:val="center"/>
          </w:tcPr>
          <w:p>
            <w:pPr>
              <w:spacing w:after="30"/>
            </w:pPr>
            <w:r>
              <w:rPr>
                <w:color w:val="2A2A2A"/>
                <w:sz w:val="17"/>
                <w:szCs w:val="17"/>
              </w:rPr>
              <w:t xml:space="preserve">Shareable achievement wall</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SA-125</w:t>
            </w:r>
          </w:p>
        </w:tc>
        <w:tc>
          <w:tcPr>
            <w:tcW w:type="dxa" w:w="3000"/>
            <w:shd w:fill="FFFFFF" w:val="clear"/>
            <w:tcMar>
              <w:top w:type="dxa" w:w="70"/>
              <w:left w:type="dxa" w:w="100"/>
              <w:bottom w:type="dxa" w:w="70"/>
              <w:right w:type="dxa" w:w="100"/>
            </w:tcMar>
            <w:vAlign w:val="center"/>
          </w:tcPr>
          <w:p>
            <w:pPr>
              <w:spacing w:after="30"/>
            </w:pPr>
            <w:r>
              <w:rPr>
                <w:color w:val="2A2A2A"/>
                <w:sz w:val="17"/>
                <w:szCs w:val="17"/>
              </w:rPr>
              <w:t xml:space="preserve">Challenge a Friend</w:t>
            </w:r>
          </w:p>
        </w:tc>
        <w:tc>
          <w:tcPr>
            <w:tcW w:type="dxa" w:w="5460"/>
            <w:shd w:fill="FFFFFF" w:val="clear"/>
            <w:tcMar>
              <w:top w:type="dxa" w:w="70"/>
              <w:left w:type="dxa" w:w="100"/>
              <w:bottom w:type="dxa" w:w="70"/>
              <w:right w:type="dxa" w:w="100"/>
            </w:tcMar>
            <w:vAlign w:val="center"/>
          </w:tcPr>
          <w:p>
            <w:pPr>
              <w:spacing w:after="30"/>
            </w:pPr>
            <w:r>
              <w:rPr>
                <w:color w:val="2A2A2A"/>
                <w:sz w:val="17"/>
                <w:szCs w:val="17"/>
              </w:rPr>
              <w:t xml:space="preserve">Issue/accept a head-to-head cross-school quiz duel</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SA-126</w:t>
            </w:r>
          </w:p>
        </w:tc>
        <w:tc>
          <w:tcPr>
            <w:tcW w:type="dxa" w:w="3000"/>
            <w:shd w:fill="F2F2F2" w:val="clear"/>
            <w:tcMar>
              <w:top w:type="dxa" w:w="70"/>
              <w:left w:type="dxa" w:w="100"/>
              <w:bottom w:type="dxa" w:w="70"/>
              <w:right w:type="dxa" w:w="100"/>
            </w:tcMar>
            <w:vAlign w:val="center"/>
          </w:tcPr>
          <w:p>
            <w:pPr>
              <w:spacing w:after="30"/>
            </w:pPr>
            <w:r>
              <w:rPr>
                <w:color w:val="2A2A2A"/>
                <w:sz w:val="17"/>
                <w:szCs w:val="17"/>
              </w:rPr>
              <w:t xml:space="preserve">Season Championship Bracket</w:t>
            </w:r>
          </w:p>
        </w:tc>
        <w:tc>
          <w:tcPr>
            <w:tcW w:type="dxa" w:w="5460"/>
            <w:shd w:fill="F2F2F2" w:val="clear"/>
            <w:tcMar>
              <w:top w:type="dxa" w:w="70"/>
              <w:left w:type="dxa" w:w="100"/>
              <w:bottom w:type="dxa" w:w="70"/>
              <w:right w:type="dxa" w:w="100"/>
            </w:tcMar>
            <w:vAlign w:val="center"/>
          </w:tcPr>
          <w:p>
            <w:pPr>
              <w:spacing w:after="30"/>
            </w:pPr>
            <w:r>
              <w:rPr>
                <w:color w:val="2A2A2A"/>
                <w:sz w:val="17"/>
                <w:szCs w:val="17"/>
              </w:rPr>
              <w:t xml:space="preserve">Live bracket view for the Spotlight Schools Cup pathway</w:t>
            </w:r>
          </w:p>
        </w:tc>
      </w:tr>
    </w:tbl>
    <w:p>
      <w:pPr>
        <w:pStyle w:val="Heading2"/>
        <w:spacing w:after="120" w:before="280"/>
      </w:pPr>
      <w:r>
        <w:rPr>
          <w:b/>
          <w:bCs/>
          <w:color w:val="13315C"/>
          <w:sz w:val="25"/>
          <w:szCs w:val="25"/>
        </w:rPr>
        <w:t xml:space="preserve">7.3 School Admin / Bursar Console — additions (prefix SC-, extends existing 28-module console)</w:t>
      </w:r>
    </w:p>
    <w:tbl>
      <w:tblPr>
        <w:tblW w:type="dxa" w:w="9360"/>
        <w:tblBorders>
          <w:top w:val="single" w:color="D5DCE3" w:sz="2"/>
          <w:left w:val="single" w:color="D5DCE3" w:sz="2"/>
          <w:bottom w:val="single" w:color="D5DCE3" w:sz="2"/>
          <w:right w:val="single" w:color="D5DCE3" w:sz="2"/>
          <w:insideH w:val="single" w:color="D5DCE3" w:sz="2"/>
          <w:insideV w:val="single" w:color="D5DCE3" w:sz="2"/>
        </w:tblBorders>
      </w:tblPr>
      <w:tblGrid>
        <w:gridCol w:w="900"/>
        <w:gridCol w:w="3400"/>
        <w:gridCol w:w="5060"/>
      </w:tblGrid>
      <w:tr>
        <w:trPr>
          <w:tblHeader/>
        </w:trPr>
        <w:tc>
          <w:tcPr>
            <w:tcW w:type="dxa" w:w="900"/>
            <w:shd w:fill="0B2545" w:val="clear"/>
            <w:tcMar>
              <w:top w:type="dxa" w:w="70"/>
              <w:left w:type="dxa" w:w="100"/>
              <w:bottom w:type="dxa" w:w="70"/>
              <w:right w:type="dxa" w:w="100"/>
            </w:tcMar>
            <w:vAlign w:val="center"/>
          </w:tcPr>
          <w:p>
            <w:r>
              <w:rPr>
                <w:b/>
                <w:bCs/>
                <w:color w:val="FFFFFF"/>
                <w:sz w:val="17"/>
                <w:szCs w:val="17"/>
              </w:rPr>
              <w:t xml:space="preserve">ID</w:t>
            </w:r>
          </w:p>
        </w:tc>
        <w:tc>
          <w:tcPr>
            <w:tcW w:type="dxa" w:w="3400"/>
            <w:shd w:fill="0B2545" w:val="clear"/>
            <w:tcMar>
              <w:top w:type="dxa" w:w="70"/>
              <w:left w:type="dxa" w:w="100"/>
              <w:bottom w:type="dxa" w:w="70"/>
              <w:right w:type="dxa" w:w="100"/>
            </w:tcMar>
            <w:vAlign w:val="center"/>
          </w:tcPr>
          <w:p>
            <w:r>
              <w:rPr>
                <w:b/>
                <w:bCs/>
                <w:color w:val="FFFFFF"/>
                <w:sz w:val="17"/>
                <w:szCs w:val="17"/>
              </w:rPr>
              <w:t xml:space="preserve">Module</w:t>
            </w:r>
          </w:p>
        </w:tc>
        <w:tc>
          <w:tcPr>
            <w:tcW w:type="dxa" w:w="5060"/>
            <w:shd w:fill="0B2545" w:val="clear"/>
            <w:tcMar>
              <w:top w:type="dxa" w:w="70"/>
              <w:left w:type="dxa" w:w="100"/>
              <w:bottom w:type="dxa" w:w="70"/>
              <w:right w:type="dxa" w:w="100"/>
            </w:tcMar>
            <w:vAlign w:val="center"/>
          </w:tcPr>
          <w:p>
            <w:r>
              <w:rPr>
                <w:b/>
                <w:bCs/>
                <w:color w:val="FFFFFF"/>
                <w:sz w:val="17"/>
                <w:szCs w:val="17"/>
              </w:rPr>
              <w:t xml:space="preserve">Purpose &amp; key states</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SC-29</w:t>
            </w:r>
          </w:p>
        </w:tc>
        <w:tc>
          <w:tcPr>
            <w:tcW w:type="dxa" w:w="3400"/>
            <w:shd w:fill="FFFFFF" w:val="clear"/>
            <w:tcMar>
              <w:top w:type="dxa" w:w="70"/>
              <w:left w:type="dxa" w:w="100"/>
              <w:bottom w:type="dxa" w:w="70"/>
              <w:right w:type="dxa" w:w="100"/>
            </w:tcMar>
            <w:vAlign w:val="center"/>
          </w:tcPr>
          <w:p>
            <w:pPr>
              <w:spacing w:after="30"/>
            </w:pPr>
            <w:r>
              <w:rPr>
                <w:color w:val="2A2A2A"/>
                <w:sz w:val="17"/>
                <w:szCs w:val="17"/>
              </w:rPr>
              <w:t xml:space="preserve">School Setup Wizard</w:t>
            </w:r>
          </w:p>
        </w:tc>
        <w:tc>
          <w:tcPr>
            <w:tcW w:type="dxa" w:w="5060"/>
            <w:shd w:fill="FFFFFF" w:val="clear"/>
            <w:tcMar>
              <w:top w:type="dxa" w:w="70"/>
              <w:left w:type="dxa" w:w="100"/>
              <w:bottom w:type="dxa" w:w="70"/>
              <w:right w:type="dxa" w:w="100"/>
            </w:tcMar>
            <w:vAlign w:val="center"/>
          </w:tcPr>
          <w:p>
            <w:pPr>
              <w:spacing w:after="30"/>
            </w:pPr>
            <w:r>
              <w:rPr>
                <w:color w:val="2A2A2A"/>
                <w:sz w:val="17"/>
                <w:szCs w:val="17"/>
              </w:rPr>
              <w:t xml:space="preserve">Level, sessions, terms, classes, grading policy</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SC-30</w:t>
            </w:r>
          </w:p>
        </w:tc>
        <w:tc>
          <w:tcPr>
            <w:tcW w:type="dxa" w:w="3400"/>
            <w:shd w:fill="F2F2F2" w:val="clear"/>
            <w:tcMar>
              <w:top w:type="dxa" w:w="70"/>
              <w:left w:type="dxa" w:w="100"/>
              <w:bottom w:type="dxa" w:w="70"/>
              <w:right w:type="dxa" w:w="100"/>
            </w:tcMar>
            <w:vAlign w:val="center"/>
          </w:tcPr>
          <w:p>
            <w:pPr>
              <w:spacing w:after="30"/>
            </w:pPr>
            <w:r>
              <w:rPr>
                <w:color w:val="2A2A2A"/>
                <w:sz w:val="17"/>
                <w:szCs w:val="17"/>
              </w:rPr>
              <w:t xml:space="preserve">Fee Schedule Builder</w:t>
            </w:r>
          </w:p>
        </w:tc>
        <w:tc>
          <w:tcPr>
            <w:tcW w:type="dxa" w:w="5060"/>
            <w:shd w:fill="F2F2F2" w:val="clear"/>
            <w:tcMar>
              <w:top w:type="dxa" w:w="70"/>
              <w:left w:type="dxa" w:w="100"/>
              <w:bottom w:type="dxa" w:w="70"/>
              <w:right w:type="dxa" w:w="100"/>
            </w:tcMar>
            <w:vAlign w:val="center"/>
          </w:tcPr>
          <w:p>
            <w:pPr>
              <w:spacing w:after="30"/>
            </w:pPr>
            <w:r>
              <w:rPr>
                <w:color w:val="2A2A2A"/>
                <w:sz w:val="17"/>
                <w:szCs w:val="17"/>
              </w:rPr>
              <w:t xml:space="preserve">Itemized fees per class/session/term</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SC-31</w:t>
            </w:r>
          </w:p>
        </w:tc>
        <w:tc>
          <w:tcPr>
            <w:tcW w:type="dxa" w:w="3400"/>
            <w:shd w:fill="FFFFFF" w:val="clear"/>
            <w:tcMar>
              <w:top w:type="dxa" w:w="70"/>
              <w:left w:type="dxa" w:w="100"/>
              <w:bottom w:type="dxa" w:w="70"/>
              <w:right w:type="dxa" w:w="100"/>
            </w:tcMar>
            <w:vAlign w:val="center"/>
          </w:tcPr>
          <w:p>
            <w:pPr>
              <w:spacing w:after="30"/>
            </w:pPr>
            <w:r>
              <w:rPr>
                <w:color w:val="2A2A2A"/>
                <w:sz w:val="17"/>
                <w:szCs w:val="17"/>
              </w:rPr>
              <w:t xml:space="preserve">Installment Policy Configuration</w:t>
            </w:r>
          </w:p>
        </w:tc>
        <w:tc>
          <w:tcPr>
            <w:tcW w:type="dxa" w:w="5060"/>
            <w:shd w:fill="FFFFFF" w:val="clear"/>
            <w:tcMar>
              <w:top w:type="dxa" w:w="70"/>
              <w:left w:type="dxa" w:w="100"/>
              <w:bottom w:type="dxa" w:w="70"/>
              <w:right w:type="dxa" w:w="100"/>
            </w:tcMar>
            <w:vAlign w:val="center"/>
          </w:tcPr>
          <w:p>
            <w:pPr>
              <w:spacing w:after="30"/>
            </w:pPr>
            <w:r>
              <w:rPr>
                <w:color w:val="2A2A2A"/>
                <w:sz w:val="17"/>
                <w:szCs w:val="17"/>
              </w:rPr>
              <w:t xml:space="preserve">Premium %, min down payment, number of installments</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SC-32</w:t>
            </w:r>
          </w:p>
        </w:tc>
        <w:tc>
          <w:tcPr>
            <w:tcW w:type="dxa" w:w="3400"/>
            <w:shd w:fill="F2F2F2" w:val="clear"/>
            <w:tcMar>
              <w:top w:type="dxa" w:w="70"/>
              <w:left w:type="dxa" w:w="100"/>
              <w:bottom w:type="dxa" w:w="70"/>
              <w:right w:type="dxa" w:w="100"/>
            </w:tcMar>
            <w:vAlign w:val="center"/>
          </w:tcPr>
          <w:p>
            <w:pPr>
              <w:spacing w:after="30"/>
            </w:pPr>
            <w:r>
              <w:rPr>
                <w:color w:val="2A2A2A"/>
                <w:sz w:val="17"/>
                <w:szCs w:val="17"/>
              </w:rPr>
              <w:t xml:space="preserve">Student &amp; Parent Bulk Onboarding</w:t>
            </w:r>
          </w:p>
        </w:tc>
        <w:tc>
          <w:tcPr>
            <w:tcW w:type="dxa" w:w="5060"/>
            <w:shd w:fill="F2F2F2" w:val="clear"/>
            <w:tcMar>
              <w:top w:type="dxa" w:w="70"/>
              <w:left w:type="dxa" w:w="100"/>
              <w:bottom w:type="dxa" w:w="70"/>
              <w:right w:type="dxa" w:w="100"/>
            </w:tcMar>
            <w:vAlign w:val="center"/>
          </w:tcPr>
          <w:p>
            <w:pPr>
              <w:spacing w:after="30"/>
            </w:pPr>
            <w:r>
              <w:rPr>
                <w:color w:val="2A2A2A"/>
                <w:sz w:val="17"/>
                <w:szCs w:val="17"/>
              </w:rPr>
              <w:t xml:space="preserve">CSV import; self-registration approval queue</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SC-33</w:t>
            </w:r>
          </w:p>
        </w:tc>
        <w:tc>
          <w:tcPr>
            <w:tcW w:type="dxa" w:w="3400"/>
            <w:shd w:fill="FFFFFF" w:val="clear"/>
            <w:tcMar>
              <w:top w:type="dxa" w:w="70"/>
              <w:left w:type="dxa" w:w="100"/>
              <w:bottom w:type="dxa" w:w="70"/>
              <w:right w:type="dxa" w:w="100"/>
            </w:tcMar>
            <w:vAlign w:val="center"/>
          </w:tcPr>
          <w:p>
            <w:pPr>
              <w:spacing w:after="30"/>
            </w:pPr>
            <w:r>
              <w:rPr>
                <w:color w:val="2A2A2A"/>
                <w:sz w:val="17"/>
                <w:szCs w:val="17"/>
              </w:rPr>
              <w:t xml:space="preserve">Invoice &amp; Collections Dashboard</w:t>
            </w:r>
          </w:p>
        </w:tc>
        <w:tc>
          <w:tcPr>
            <w:tcW w:type="dxa" w:w="5060"/>
            <w:shd w:fill="FFFFFF" w:val="clear"/>
            <w:tcMar>
              <w:top w:type="dxa" w:w="70"/>
              <w:left w:type="dxa" w:w="100"/>
              <w:bottom w:type="dxa" w:w="70"/>
              <w:right w:type="dxa" w:w="100"/>
            </w:tcMar>
            <w:vAlign w:val="center"/>
          </w:tcPr>
          <w:p>
            <w:pPr>
              <w:spacing w:after="30"/>
            </w:pPr>
            <w:r>
              <w:rPr>
                <w:color w:val="2A2A2A"/>
                <w:sz w:val="17"/>
                <w:szCs w:val="17"/>
              </w:rPr>
              <w:t xml:space="preserve">Real-time collections view, by class, by term</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SC-34</w:t>
            </w:r>
          </w:p>
        </w:tc>
        <w:tc>
          <w:tcPr>
            <w:tcW w:type="dxa" w:w="3400"/>
            <w:shd w:fill="F2F2F2" w:val="clear"/>
            <w:tcMar>
              <w:top w:type="dxa" w:w="70"/>
              <w:left w:type="dxa" w:w="100"/>
              <w:bottom w:type="dxa" w:w="70"/>
              <w:right w:type="dxa" w:w="100"/>
            </w:tcMar>
            <w:vAlign w:val="center"/>
          </w:tcPr>
          <w:p>
            <w:pPr>
              <w:spacing w:after="30"/>
            </w:pPr>
            <w:r>
              <w:rPr>
                <w:color w:val="2A2A2A"/>
                <w:sz w:val="17"/>
                <w:szCs w:val="17"/>
              </w:rPr>
              <w:t xml:space="preserve">Defaulters &amp; Hardship Review Queue</w:t>
            </w:r>
          </w:p>
        </w:tc>
        <w:tc>
          <w:tcPr>
            <w:tcW w:type="dxa" w:w="5060"/>
            <w:shd w:fill="F2F2F2" w:val="clear"/>
            <w:tcMar>
              <w:top w:type="dxa" w:w="70"/>
              <w:left w:type="dxa" w:w="100"/>
              <w:bottom w:type="dxa" w:w="70"/>
              <w:right w:type="dxa" w:w="100"/>
            </w:tcMar>
            <w:vAlign w:val="center"/>
          </w:tcPr>
          <w:p>
            <w:pPr>
              <w:spacing w:after="30"/>
            </w:pPr>
            <w:r>
              <w:rPr>
                <w:color w:val="2A2A2A"/>
                <w:sz w:val="17"/>
                <w:szCs w:val="17"/>
              </w:rPr>
              <w:t xml:space="preserve">Human review of overdue and freeze-request cases</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SC-35</w:t>
            </w:r>
          </w:p>
        </w:tc>
        <w:tc>
          <w:tcPr>
            <w:tcW w:type="dxa" w:w="3400"/>
            <w:shd w:fill="FFFFFF" w:val="clear"/>
            <w:tcMar>
              <w:top w:type="dxa" w:w="70"/>
              <w:left w:type="dxa" w:w="100"/>
              <w:bottom w:type="dxa" w:w="70"/>
              <w:right w:type="dxa" w:w="100"/>
            </w:tcMar>
            <w:vAlign w:val="center"/>
          </w:tcPr>
          <w:p>
            <w:pPr>
              <w:spacing w:after="30"/>
            </w:pPr>
            <w:r>
              <w:rPr>
                <w:color w:val="2A2A2A"/>
                <w:sz w:val="17"/>
                <w:szCs w:val="17"/>
              </w:rPr>
              <w:t xml:space="preserve">Promotion Console</w:t>
            </w:r>
          </w:p>
        </w:tc>
        <w:tc>
          <w:tcPr>
            <w:tcW w:type="dxa" w:w="5060"/>
            <w:shd w:fill="FFFFFF" w:val="clear"/>
            <w:tcMar>
              <w:top w:type="dxa" w:w="70"/>
              <w:left w:type="dxa" w:w="100"/>
              <w:bottom w:type="dxa" w:w="70"/>
              <w:right w:type="dxa" w:w="100"/>
            </w:tcMar>
            <w:vAlign w:val="center"/>
          </w:tcPr>
          <w:p>
            <w:pPr>
              <w:spacing w:after="30"/>
            </w:pPr>
            <w:r>
              <w:rPr>
                <w:color w:val="2A2A2A"/>
                <w:sz w:val="17"/>
                <w:szCs w:val="17"/>
              </w:rPr>
              <w:t xml:space="preserve">Score import, promotion proposal review, teacher/admin approval steps</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SC-36</w:t>
            </w:r>
          </w:p>
        </w:tc>
        <w:tc>
          <w:tcPr>
            <w:tcW w:type="dxa" w:w="3400"/>
            <w:shd w:fill="F2F2F2" w:val="clear"/>
            <w:tcMar>
              <w:top w:type="dxa" w:w="70"/>
              <w:left w:type="dxa" w:w="100"/>
              <w:bottom w:type="dxa" w:w="70"/>
              <w:right w:type="dxa" w:w="100"/>
            </w:tcMar>
            <w:vAlign w:val="center"/>
          </w:tcPr>
          <w:p>
            <w:pPr>
              <w:spacing w:after="30"/>
            </w:pPr>
            <w:r>
              <w:rPr>
                <w:color w:val="2A2A2A"/>
                <w:sz w:val="17"/>
                <w:szCs w:val="17"/>
              </w:rPr>
              <w:t xml:space="preserve">Class &amp; Session Rollover</w:t>
            </w:r>
          </w:p>
        </w:tc>
        <w:tc>
          <w:tcPr>
            <w:tcW w:type="dxa" w:w="5060"/>
            <w:shd w:fill="F2F2F2" w:val="clear"/>
            <w:tcMar>
              <w:top w:type="dxa" w:w="70"/>
              <w:left w:type="dxa" w:w="100"/>
              <w:bottom w:type="dxa" w:w="70"/>
              <w:right w:type="dxa" w:w="100"/>
            </w:tcMar>
            <w:vAlign w:val="center"/>
          </w:tcPr>
          <w:p>
            <w:pPr>
              <w:spacing w:after="30"/>
            </w:pPr>
            <w:r>
              <w:rPr>
                <w:color w:val="2A2A2A"/>
                <w:sz w:val="17"/>
                <w:szCs w:val="17"/>
              </w:rPr>
              <w:t xml:space="preserve">Executes approved promotions; updates fee schedules for the new session</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SC-37</w:t>
            </w:r>
          </w:p>
        </w:tc>
        <w:tc>
          <w:tcPr>
            <w:tcW w:type="dxa" w:w="3400"/>
            <w:shd w:fill="FFFFFF" w:val="clear"/>
            <w:tcMar>
              <w:top w:type="dxa" w:w="70"/>
              <w:left w:type="dxa" w:w="100"/>
              <w:bottom w:type="dxa" w:w="70"/>
              <w:right w:type="dxa" w:w="100"/>
            </w:tcMar>
            <w:vAlign w:val="center"/>
          </w:tcPr>
          <w:p>
            <w:pPr>
              <w:spacing w:after="30"/>
            </w:pPr>
            <w:r>
              <w:rPr>
                <w:color w:val="2A2A2A"/>
                <w:sz w:val="17"/>
                <w:szCs w:val="17"/>
              </w:rPr>
              <w:t xml:space="preserve">Cross-School Competition Registration</w:t>
            </w:r>
          </w:p>
        </w:tc>
        <w:tc>
          <w:tcPr>
            <w:tcW w:type="dxa" w:w="5060"/>
            <w:shd w:fill="FFFFFF" w:val="clear"/>
            <w:tcMar>
              <w:top w:type="dxa" w:w="70"/>
              <w:left w:type="dxa" w:w="100"/>
              <w:bottom w:type="dxa" w:w="70"/>
              <w:right w:type="dxa" w:w="100"/>
            </w:tcMar>
            <w:vAlign w:val="center"/>
          </w:tcPr>
          <w:p>
            <w:pPr>
              <w:spacing w:after="30"/>
            </w:pPr>
            <w:r>
              <w:rPr>
                <w:color w:val="2A2A2A"/>
                <w:sz w:val="17"/>
                <w:szCs w:val="17"/>
              </w:rPr>
              <w:t xml:space="preserve">Enter a class/school into a scheduled tournament</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SC-38</w:t>
            </w:r>
          </w:p>
        </w:tc>
        <w:tc>
          <w:tcPr>
            <w:tcW w:type="dxa" w:w="3400"/>
            <w:shd w:fill="F2F2F2" w:val="clear"/>
            <w:tcMar>
              <w:top w:type="dxa" w:w="70"/>
              <w:left w:type="dxa" w:w="100"/>
              <w:bottom w:type="dxa" w:w="70"/>
              <w:right w:type="dxa" w:w="100"/>
            </w:tcMar>
            <w:vAlign w:val="center"/>
          </w:tcPr>
          <w:p>
            <w:pPr>
              <w:spacing w:after="30"/>
            </w:pPr>
            <w:r>
              <w:rPr>
                <w:color w:val="2A2A2A"/>
                <w:sz w:val="17"/>
                <w:szCs w:val="17"/>
              </w:rPr>
              <w:t xml:space="preserve">Government/Regulator Export Center</w:t>
            </w:r>
          </w:p>
        </w:tc>
        <w:tc>
          <w:tcPr>
            <w:tcW w:type="dxa" w:w="5060"/>
            <w:shd w:fill="F2F2F2" w:val="clear"/>
            <w:tcMar>
              <w:top w:type="dxa" w:w="70"/>
              <w:left w:type="dxa" w:w="100"/>
              <w:bottom w:type="dxa" w:w="70"/>
              <w:right w:type="dxa" w:w="100"/>
            </w:tcMar>
            <w:vAlign w:val="center"/>
          </w:tcPr>
          <w:p>
            <w:pPr>
              <w:spacing w:after="30"/>
            </w:pPr>
            <w:r>
              <w:rPr>
                <w:color w:val="2A2A2A"/>
                <w:sz w:val="17"/>
                <w:szCs w:val="17"/>
              </w:rPr>
              <w:t xml:space="preserve">Opt-in UBEC/SUBEB-aligned data sync, per data category</w:t>
            </w:r>
          </w:p>
        </w:tc>
      </w:tr>
      <w:tr>
        <w:tc>
          <w:tcPr>
            <w:tcW w:type="dxa" w:w="900"/>
            <w:shd w:fill="FFFFFF" w:val="clear"/>
            <w:tcMar>
              <w:top w:type="dxa" w:w="70"/>
              <w:left w:type="dxa" w:w="100"/>
              <w:bottom w:type="dxa" w:w="70"/>
              <w:right w:type="dxa" w:w="100"/>
            </w:tcMar>
            <w:vAlign w:val="center"/>
          </w:tcPr>
          <w:p>
            <w:pPr>
              <w:spacing w:after="30"/>
            </w:pPr>
            <w:r>
              <w:rPr>
                <w:color w:val="2A2A2A"/>
                <w:sz w:val="17"/>
                <w:szCs w:val="17"/>
              </w:rPr>
              <w:t xml:space="preserve">SC-39</w:t>
            </w:r>
          </w:p>
        </w:tc>
        <w:tc>
          <w:tcPr>
            <w:tcW w:type="dxa" w:w="3400"/>
            <w:shd w:fill="FFFFFF" w:val="clear"/>
            <w:tcMar>
              <w:top w:type="dxa" w:w="70"/>
              <w:left w:type="dxa" w:w="100"/>
              <w:bottom w:type="dxa" w:w="70"/>
              <w:right w:type="dxa" w:w="100"/>
            </w:tcMar>
            <w:vAlign w:val="center"/>
          </w:tcPr>
          <w:p>
            <w:pPr>
              <w:spacing w:after="30"/>
            </w:pPr>
            <w:r>
              <w:rPr>
                <w:color w:val="2A2A2A"/>
                <w:sz w:val="17"/>
                <w:szCs w:val="17"/>
              </w:rPr>
              <w:t xml:space="preserve">School Trust Score Management</w:t>
            </w:r>
          </w:p>
        </w:tc>
        <w:tc>
          <w:tcPr>
            <w:tcW w:type="dxa" w:w="5060"/>
            <w:shd w:fill="FFFFFF" w:val="clear"/>
            <w:tcMar>
              <w:top w:type="dxa" w:w="70"/>
              <w:left w:type="dxa" w:w="100"/>
              <w:bottom w:type="dxa" w:w="70"/>
              <w:right w:type="dxa" w:w="100"/>
            </w:tcMar>
            <w:vAlign w:val="center"/>
          </w:tcPr>
          <w:p>
            <w:pPr>
              <w:spacing w:after="30"/>
            </w:pPr>
            <w:r>
              <w:rPr>
                <w:color w:val="2A2A2A"/>
                <w:sz w:val="17"/>
                <w:szCs w:val="17"/>
              </w:rPr>
              <w:t xml:space="preserve">View and respond to the school's public reliability profile</w:t>
            </w:r>
          </w:p>
        </w:tc>
      </w:tr>
      <w:tr>
        <w:tc>
          <w:tcPr>
            <w:tcW w:type="dxa" w:w="900"/>
            <w:shd w:fill="F2F2F2" w:val="clear"/>
            <w:tcMar>
              <w:top w:type="dxa" w:w="70"/>
              <w:left w:type="dxa" w:w="100"/>
              <w:bottom w:type="dxa" w:w="70"/>
              <w:right w:type="dxa" w:w="100"/>
            </w:tcMar>
            <w:vAlign w:val="center"/>
          </w:tcPr>
          <w:p>
            <w:pPr>
              <w:spacing w:after="30"/>
            </w:pPr>
            <w:r>
              <w:rPr>
                <w:color w:val="2A2A2A"/>
                <w:sz w:val="17"/>
                <w:szCs w:val="17"/>
              </w:rPr>
              <w:t xml:space="preserve">SC-40</w:t>
            </w:r>
          </w:p>
        </w:tc>
        <w:tc>
          <w:tcPr>
            <w:tcW w:type="dxa" w:w="3400"/>
            <w:shd w:fill="F2F2F2" w:val="clear"/>
            <w:tcMar>
              <w:top w:type="dxa" w:w="70"/>
              <w:left w:type="dxa" w:w="100"/>
              <w:bottom w:type="dxa" w:w="70"/>
              <w:right w:type="dxa" w:w="100"/>
            </w:tcMar>
            <w:vAlign w:val="center"/>
          </w:tcPr>
          <w:p>
            <w:pPr>
              <w:spacing w:after="30"/>
            </w:pPr>
            <w:r>
              <w:rPr>
                <w:color w:val="2A2A2A"/>
                <w:sz w:val="17"/>
                <w:szCs w:val="17"/>
              </w:rPr>
              <w:t xml:space="preserve">Staff &amp; Bursar Role Management</w:t>
            </w:r>
          </w:p>
        </w:tc>
        <w:tc>
          <w:tcPr>
            <w:tcW w:type="dxa" w:w="5060"/>
            <w:shd w:fill="F2F2F2" w:val="clear"/>
            <w:tcMar>
              <w:top w:type="dxa" w:w="70"/>
              <w:left w:type="dxa" w:w="100"/>
              <w:bottom w:type="dxa" w:w="70"/>
              <w:right w:type="dxa" w:w="100"/>
            </w:tcMar>
            <w:vAlign w:val="center"/>
          </w:tcPr>
          <w:p>
            <w:pPr>
              <w:spacing w:after="30"/>
            </w:pPr>
            <w:r>
              <w:rPr>
                <w:color w:val="2A2A2A"/>
                <w:sz w:val="17"/>
                <w:szCs w:val="17"/>
              </w:rPr>
              <w:t xml:space="preserve">Granular permissions for bursar, class teacher, head teacher roles</w:t>
            </w:r>
          </w:p>
        </w:tc>
      </w:tr>
    </w:tbl>
    <w:p>
      <w:pPr>
        <w:pStyle w:val="Heading1"/>
        <w:pBdr>
          <w:bottom w:val="single" w:color="C9A227" w:sz="6" w:space="4"/>
        </w:pBdr>
        <w:spacing w:after="160" w:before="420"/>
      </w:pPr>
      <w:r>
        <w:rPr>
          <w:b/>
          <w:bCs/>
          <w:color w:val="0B2545"/>
          <w:sz w:val="30"/>
          <w:szCs w:val="30"/>
        </w:rPr>
        <w:t xml:space="preserve">8. Key End-to-End Workflows</w:t>
      </w:r>
    </w:p>
    <w:p>
      <w:pPr>
        <w:pStyle w:val="Heading3"/>
        <w:spacing w:after="80" w:before="200"/>
      </w:pPr>
      <w:r>
        <w:rPr>
          <w:b/>
          <w:bCs/>
          <w:color w:val="0B2545"/>
          <w:sz w:val="22"/>
          <w:szCs w:val="22"/>
        </w:rPr>
        <w:t xml:space="preserve">8.1 Parent onboarding and first payment</w:t>
      </w:r>
    </w:p>
    <w:p>
      <w:pPr>
        <w:pStyle w:val="ListParagraph"/>
        <w:numPr>
          <w:ilvl w:val="0"/>
          <w:numId w:val="1"/>
        </w:numPr>
        <w:spacing w:after="80" w:line="280"/>
      </w:pPr>
      <w:r>
        <w:rPr>
          <w:color w:val="1A1A1A"/>
          <w:sz w:val="21"/>
          <w:szCs w:val="21"/>
        </w:rPr>
        <w:t xml:space="preserve">PA-01 register → PA-02 enter class invite code → school admin approves via SC-32 → PA-03 dashboard shows new invoice → PA-04 view breakdown → PA-05 pay in full, or PA-06 set up installments with disclosed terms → receipt issued, SC-33 collections dashboard updates in real time.</w:t>
      </w:r>
    </w:p>
    <w:p>
      <w:pPr>
        <w:pStyle w:val="Heading3"/>
        <w:spacing w:after="80" w:before="200"/>
      </w:pPr>
      <w:r>
        <w:rPr>
          <w:b/>
          <w:bCs/>
          <w:color w:val="0B2545"/>
          <w:sz w:val="22"/>
          <w:szCs w:val="22"/>
        </w:rPr>
        <w:t xml:space="preserve">8.2 School fee setup for a new session</w:t>
      </w:r>
    </w:p>
    <w:p>
      <w:pPr>
        <w:pStyle w:val="ListParagraph"/>
        <w:numPr>
          <w:ilvl w:val="0"/>
          <w:numId w:val="1"/>
        </w:numPr>
        <w:spacing w:after="80" w:line="280"/>
      </w:pPr>
      <w:r>
        <w:rPr>
          <w:color w:val="1A1A1A"/>
          <w:sz w:val="21"/>
          <w:szCs w:val="21"/>
        </w:rPr>
        <w:t xml:space="preserve">SC-29 setup wizard confirms classes for the session → SC-30 fee schedule builder itemizes fees per class → SC-31 configures installment policy → schedules published, invoices auto-generate against enrolled students at term-start.</w:t>
      </w:r>
    </w:p>
    <w:p>
      <w:pPr>
        <w:pStyle w:val="Heading3"/>
        <w:spacing w:after="80" w:before="200"/>
      </w:pPr>
      <w:r>
        <w:rPr>
          <w:b/>
          <w:bCs/>
          <w:color w:val="0B2545"/>
          <w:sz w:val="22"/>
          <w:szCs w:val="22"/>
        </w:rPr>
        <w:t xml:space="preserve">8.3 Saving ahead with the Fees Vault</w:t>
      </w:r>
    </w:p>
    <w:p>
      <w:pPr>
        <w:pStyle w:val="ListParagraph"/>
        <w:numPr>
          <w:ilvl w:val="0"/>
          <w:numId w:val="1"/>
        </w:numPr>
        <w:spacing w:after="80" w:line="280"/>
      </w:pPr>
      <w:r>
        <w:rPr>
          <w:color w:val="1A1A1A"/>
          <w:sz w:val="21"/>
          <w:szCs w:val="21"/>
        </w:rPr>
        <w:t xml:space="preserve">PA-07 parent opens a Vault targeting next term's projected fee → PA-08 sets auto-save rules → contributions accrue between terms → at term-start, one-tap apply-to-invoice from PA-07 clears some or all of the new invoice automatically.</w:t>
      </w:r>
    </w:p>
    <w:p>
      <w:pPr>
        <w:pStyle w:val="Heading3"/>
        <w:spacing w:after="80" w:before="200"/>
      </w:pPr>
      <w:r>
        <w:rPr>
          <w:b/>
          <w:bCs/>
          <w:color w:val="0B2545"/>
          <w:sz w:val="22"/>
          <w:szCs w:val="22"/>
        </w:rPr>
        <w:t xml:space="preserve">8.4 End-of-session auto-promotion</w:t>
      </w:r>
    </w:p>
    <w:p>
      <w:pPr>
        <w:pStyle w:val="ListParagraph"/>
        <w:numPr>
          <w:ilvl w:val="0"/>
          <w:numId w:val="1"/>
        </w:numPr>
        <w:spacing w:after="80" w:line="280"/>
      </w:pPr>
      <w:r>
        <w:rPr>
          <w:color w:val="1A1A1A"/>
          <w:sz w:val="21"/>
          <w:szCs w:val="21"/>
        </w:rPr>
        <w:t xml:space="preserve">Teachers enter scores → SC-35 promotion console computes proposals per the school's pass-mark policy → class teacher reviews and signs off → head teacher/admin gives final approval → SC-36 executes rollover, updating each promoted student's class and fee schedule for the new session — all in one auditable trail.</w:t>
      </w:r>
    </w:p>
    <w:p>
      <w:pPr>
        <w:pStyle w:val="Heading3"/>
        <w:spacing w:after="80" w:before="200"/>
      </w:pPr>
      <w:r>
        <w:rPr>
          <w:b/>
          <w:bCs/>
          <w:color w:val="0B2545"/>
          <w:sz w:val="22"/>
          <w:szCs w:val="22"/>
        </w:rPr>
        <w:t xml:space="preserve">8.5 Cross-school tournament</w:t>
      </w:r>
    </w:p>
    <w:p>
      <w:pPr>
        <w:pStyle w:val="ListParagraph"/>
        <w:numPr>
          <w:ilvl w:val="0"/>
          <w:numId w:val="1"/>
        </w:numPr>
        <w:spacing w:after="80" w:line="280"/>
      </w:pPr>
      <w:r>
        <w:rPr>
          <w:color w:val="1A1A1A"/>
          <w:sz w:val="21"/>
          <w:szCs w:val="21"/>
        </w:rPr>
        <w:t xml:space="preserve">A school registers via SC-37 → students see it in SA-122 Tournament Hub → competition moves through open_registration → in_progress as students take scoped curriculum-based assessments → SA-126 bracket updates live → results lock at results_pending → winners and badges (SA-124) publish, PA-12 notifies parents.</w:t>
      </w:r>
    </w:p>
    <w:p>
      <w:pPr>
        <w:pStyle w:val="Heading1"/>
        <w:pBdr>
          <w:bottom w:val="single" w:color="C9A227" w:sz="6" w:space="4"/>
        </w:pBdr>
        <w:spacing w:after="160" w:before="420"/>
      </w:pPr>
      <w:r>
        <w:rPr>
          <w:b/>
          <w:bCs/>
          <w:color w:val="0B2545"/>
          <w:sz w:val="30"/>
          <w:szCs w:val="30"/>
        </w:rPr>
        <w:t xml:space="preserve">9. Phased Build Plan</w:t>
      </w:r>
    </w:p>
    <w:tbl>
      <w:tblPr>
        <w:tblW w:type="dxa" w:w="9360"/>
        <w:tblBorders>
          <w:top w:val="single" w:color="D5DCE3" w:sz="2"/>
          <w:left w:val="single" w:color="D5DCE3" w:sz="2"/>
          <w:bottom w:val="single" w:color="D5DCE3" w:sz="2"/>
          <w:right w:val="single" w:color="D5DCE3" w:sz="2"/>
          <w:insideH w:val="single" w:color="D5DCE3" w:sz="2"/>
          <w:insideV w:val="single" w:color="D5DCE3" w:sz="2"/>
        </w:tblBorders>
      </w:tblPr>
      <w:tblGrid>
        <w:gridCol w:w="2400"/>
        <w:gridCol w:w="5260"/>
        <w:gridCol w:w="1700"/>
      </w:tblGrid>
      <w:tr>
        <w:trPr>
          <w:tblHeader/>
        </w:trPr>
        <w:tc>
          <w:tcPr>
            <w:tcW w:type="dxa" w:w="2400"/>
            <w:shd w:fill="0B2545" w:val="clear"/>
            <w:tcMar>
              <w:top w:type="dxa" w:w="70"/>
              <w:left w:type="dxa" w:w="100"/>
              <w:bottom w:type="dxa" w:w="70"/>
              <w:right w:type="dxa" w:w="100"/>
            </w:tcMar>
            <w:vAlign w:val="center"/>
          </w:tcPr>
          <w:p>
            <w:r>
              <w:rPr>
                <w:b/>
                <w:bCs/>
                <w:color w:val="FFFFFF"/>
                <w:sz w:val="17"/>
                <w:szCs w:val="17"/>
              </w:rPr>
              <w:t xml:space="preserve">Phase</w:t>
            </w:r>
          </w:p>
        </w:tc>
        <w:tc>
          <w:tcPr>
            <w:tcW w:type="dxa" w:w="5260"/>
            <w:shd w:fill="0B2545" w:val="clear"/>
            <w:tcMar>
              <w:top w:type="dxa" w:w="70"/>
              <w:left w:type="dxa" w:w="100"/>
              <w:bottom w:type="dxa" w:w="70"/>
              <w:right w:type="dxa" w:w="100"/>
            </w:tcMar>
            <w:vAlign w:val="center"/>
          </w:tcPr>
          <w:p>
            <w:r>
              <w:rPr>
                <w:b/>
                <w:bCs/>
                <w:color w:val="FFFFFF"/>
                <w:sz w:val="17"/>
                <w:szCs w:val="17"/>
              </w:rPr>
              <w:t xml:space="preserve">Scope</w:t>
            </w:r>
          </w:p>
        </w:tc>
        <w:tc>
          <w:tcPr>
            <w:tcW w:type="dxa" w:w="1700"/>
            <w:shd w:fill="0B2545" w:val="clear"/>
            <w:tcMar>
              <w:top w:type="dxa" w:w="70"/>
              <w:left w:type="dxa" w:w="100"/>
              <w:bottom w:type="dxa" w:w="70"/>
              <w:right w:type="dxa" w:w="100"/>
            </w:tcMar>
            <w:vAlign w:val="center"/>
          </w:tcPr>
          <w:p>
            <w:r>
              <w:rPr>
                <w:b/>
                <w:bCs/>
                <w:color w:val="FFFFFF"/>
                <w:sz w:val="17"/>
                <w:szCs w:val="17"/>
              </w:rPr>
              <w:t xml:space="preserve">Depends on</w:t>
            </w:r>
          </w:p>
        </w:tc>
      </w:tr>
      <w:tr>
        <w:tc>
          <w:tcPr>
            <w:tcW w:type="dxa" w:w="2400"/>
            <w:shd w:fill="FFFFFF" w:val="clear"/>
            <w:tcMar>
              <w:top w:type="dxa" w:w="70"/>
              <w:left w:type="dxa" w:w="100"/>
              <w:bottom w:type="dxa" w:w="70"/>
              <w:right w:type="dxa" w:w="100"/>
            </w:tcMar>
            <w:vAlign w:val="center"/>
          </w:tcPr>
          <w:p>
            <w:pPr>
              <w:spacing w:after="30"/>
            </w:pPr>
            <w:r>
              <w:rPr>
                <w:color w:val="2A2A2A"/>
                <w:sz w:val="17"/>
                <w:szCs w:val="17"/>
              </w:rPr>
              <w:t xml:space="preserve">Phase 1 — Foundations</w:t>
            </w:r>
          </w:p>
        </w:tc>
        <w:tc>
          <w:tcPr>
            <w:tcW w:type="dxa" w:w="5260"/>
            <w:shd w:fill="FFFFFF" w:val="clear"/>
            <w:tcMar>
              <w:top w:type="dxa" w:w="70"/>
              <w:left w:type="dxa" w:w="100"/>
              <w:bottom w:type="dxa" w:w="70"/>
              <w:right w:type="dxa" w:w="100"/>
            </w:tcMar>
            <w:vAlign w:val="center"/>
          </w:tcPr>
          <w:p>
            <w:pPr>
              <w:spacing w:after="30"/>
            </w:pPr>
            <w:r>
              <w:rPr>
                <w:color w:val="2A2A2A"/>
                <w:sz w:val="17"/>
                <w:szCs w:val="17"/>
              </w:rPr>
              <w:t xml:space="preserve">School onboarding, class/session structure, fee schedule builder, basic invoicing, full-payment collection</w:t>
            </w:r>
          </w:p>
        </w:tc>
        <w:tc>
          <w:tcPr>
            <w:tcW w:type="dxa" w:w="1700"/>
            <w:shd w:fill="FFFFFF" w:val="clear"/>
            <w:tcMar>
              <w:top w:type="dxa" w:w="70"/>
              <w:left w:type="dxa" w:w="100"/>
              <w:bottom w:type="dxa" w:w="70"/>
              <w:right w:type="dxa" w:w="100"/>
            </w:tcMar>
            <w:vAlign w:val="center"/>
          </w:tcPr>
          <w:p>
            <w:pPr>
              <w:spacing w:after="30"/>
            </w:pPr>
            <w:r>
              <w:rPr>
                <w:color w:val="2A2A2A"/>
                <w:sz w:val="17"/>
                <w:szCs w:val="17"/>
              </w:rPr>
              <w:t xml:space="preserve">Existing wallet/ledger/KYC/payment gateway</w:t>
            </w:r>
          </w:p>
        </w:tc>
      </w:tr>
      <w:tr>
        <w:tc>
          <w:tcPr>
            <w:tcW w:type="dxa" w:w="2400"/>
            <w:shd w:fill="F2F2F2" w:val="clear"/>
            <w:tcMar>
              <w:top w:type="dxa" w:w="70"/>
              <w:left w:type="dxa" w:w="100"/>
              <w:bottom w:type="dxa" w:w="70"/>
              <w:right w:type="dxa" w:w="100"/>
            </w:tcMar>
            <w:vAlign w:val="center"/>
          </w:tcPr>
          <w:p>
            <w:pPr>
              <w:spacing w:after="30"/>
            </w:pPr>
            <w:r>
              <w:rPr>
                <w:color w:val="2A2A2A"/>
                <w:sz w:val="17"/>
                <w:szCs w:val="17"/>
              </w:rPr>
              <w:t xml:space="preserve">Phase 2 — Parent experience</w:t>
            </w:r>
          </w:p>
        </w:tc>
        <w:tc>
          <w:tcPr>
            <w:tcW w:type="dxa" w:w="5260"/>
            <w:shd w:fill="F2F2F2" w:val="clear"/>
            <w:tcMar>
              <w:top w:type="dxa" w:w="70"/>
              <w:left w:type="dxa" w:w="100"/>
              <w:bottom w:type="dxa" w:w="70"/>
              <w:right w:type="dxa" w:w="100"/>
            </w:tcMar>
            <w:vAlign w:val="center"/>
          </w:tcPr>
          <w:p>
            <w:pPr>
              <w:spacing w:after="30"/>
            </w:pPr>
            <w:r>
              <w:rPr>
                <w:color w:val="2A2A2A"/>
                <w:sz w:val="17"/>
                <w:szCs w:val="17"/>
              </w:rPr>
              <w:t xml:space="preserve">Family dashboard, installments, Fees Vault, receipts, notifications, hardship queue</w:t>
            </w:r>
          </w:p>
        </w:tc>
        <w:tc>
          <w:tcPr>
            <w:tcW w:type="dxa" w:w="1700"/>
            <w:shd w:fill="F2F2F2" w:val="clear"/>
            <w:tcMar>
              <w:top w:type="dxa" w:w="70"/>
              <w:left w:type="dxa" w:w="100"/>
              <w:bottom w:type="dxa" w:w="70"/>
              <w:right w:type="dxa" w:w="100"/>
            </w:tcMar>
            <w:vAlign w:val="center"/>
          </w:tcPr>
          <w:p>
            <w:pPr>
              <w:spacing w:after="30"/>
            </w:pPr>
            <w:r>
              <w:rPr>
                <w:color w:val="2A2A2A"/>
                <w:sz w:val="17"/>
                <w:szCs w:val="17"/>
              </w:rPr>
              <w:t xml:space="preserve">Phase 1</w:t>
            </w:r>
          </w:p>
        </w:tc>
      </w:tr>
      <w:tr>
        <w:tc>
          <w:tcPr>
            <w:tcW w:type="dxa" w:w="2400"/>
            <w:shd w:fill="FFFFFF" w:val="clear"/>
            <w:tcMar>
              <w:top w:type="dxa" w:w="70"/>
              <w:left w:type="dxa" w:w="100"/>
              <w:bottom w:type="dxa" w:w="70"/>
              <w:right w:type="dxa" w:w="100"/>
            </w:tcMar>
            <w:vAlign w:val="center"/>
          </w:tcPr>
          <w:p>
            <w:pPr>
              <w:spacing w:after="30"/>
            </w:pPr>
            <w:r>
              <w:rPr>
                <w:color w:val="2A2A2A"/>
                <w:sz w:val="17"/>
                <w:szCs w:val="17"/>
              </w:rPr>
              <w:t xml:space="preserve">Phase 3 — Promotion &amp; admin depth</w:t>
            </w:r>
          </w:p>
        </w:tc>
        <w:tc>
          <w:tcPr>
            <w:tcW w:type="dxa" w:w="5260"/>
            <w:shd w:fill="FFFFFF" w:val="clear"/>
            <w:tcMar>
              <w:top w:type="dxa" w:w="70"/>
              <w:left w:type="dxa" w:w="100"/>
              <w:bottom w:type="dxa" w:w="70"/>
              <w:right w:type="dxa" w:w="100"/>
            </w:tcMar>
            <w:vAlign w:val="center"/>
          </w:tcPr>
          <w:p>
            <w:pPr>
              <w:spacing w:after="30"/>
            </w:pPr>
            <w:r>
              <w:rPr>
                <w:color w:val="2A2A2A"/>
                <w:sz w:val="17"/>
                <w:szCs w:val="17"/>
              </w:rPr>
              <w:t xml:space="preserve">Score import, promotion console, class/session rollover, defaulter management, staff roles</w:t>
            </w:r>
          </w:p>
        </w:tc>
        <w:tc>
          <w:tcPr>
            <w:tcW w:type="dxa" w:w="1700"/>
            <w:shd w:fill="FFFFFF" w:val="clear"/>
            <w:tcMar>
              <w:top w:type="dxa" w:w="70"/>
              <w:left w:type="dxa" w:w="100"/>
              <w:bottom w:type="dxa" w:w="70"/>
              <w:right w:type="dxa" w:w="100"/>
            </w:tcMar>
            <w:vAlign w:val="center"/>
          </w:tcPr>
          <w:p>
            <w:pPr>
              <w:spacing w:after="30"/>
            </w:pPr>
            <w:r>
              <w:rPr>
                <w:color w:val="2A2A2A"/>
                <w:sz w:val="17"/>
                <w:szCs w:val="17"/>
              </w:rPr>
              <w:t xml:space="preserve">Phase 1</w:t>
            </w:r>
          </w:p>
        </w:tc>
      </w:tr>
      <w:tr>
        <w:tc>
          <w:tcPr>
            <w:tcW w:type="dxa" w:w="2400"/>
            <w:shd w:fill="F2F2F2" w:val="clear"/>
            <w:tcMar>
              <w:top w:type="dxa" w:w="70"/>
              <w:left w:type="dxa" w:w="100"/>
              <w:bottom w:type="dxa" w:w="70"/>
              <w:right w:type="dxa" w:w="100"/>
            </w:tcMar>
            <w:vAlign w:val="center"/>
          </w:tcPr>
          <w:p>
            <w:pPr>
              <w:spacing w:after="30"/>
            </w:pPr>
            <w:r>
              <w:rPr>
                <w:color w:val="2A2A2A"/>
                <w:sz w:val="17"/>
                <w:szCs w:val="17"/>
              </w:rPr>
              <w:t xml:space="preserve">Phase 4 — Competition layer</w:t>
            </w:r>
          </w:p>
        </w:tc>
        <w:tc>
          <w:tcPr>
            <w:tcW w:type="dxa" w:w="5260"/>
            <w:shd w:fill="F2F2F2" w:val="clear"/>
            <w:tcMar>
              <w:top w:type="dxa" w:w="70"/>
              <w:left w:type="dxa" w:w="100"/>
              <w:bottom w:type="dxa" w:w="70"/>
              <w:right w:type="dxa" w:w="100"/>
            </w:tcMar>
            <w:vAlign w:val="center"/>
          </w:tcPr>
          <w:p>
            <w:pPr>
              <w:spacing w:after="30"/>
            </w:pPr>
            <w:r>
              <w:rPr>
                <w:color w:val="2A2A2A"/>
                <w:sz w:val="17"/>
                <w:szCs w:val="17"/>
              </w:rPr>
              <w:t xml:space="preserve">Cross-school leaderboards, tournaments, challenge mode, badges — consumes existing Academy quiz engine</w:t>
            </w:r>
          </w:p>
        </w:tc>
        <w:tc>
          <w:tcPr>
            <w:tcW w:type="dxa" w:w="1700"/>
            <w:shd w:fill="F2F2F2" w:val="clear"/>
            <w:tcMar>
              <w:top w:type="dxa" w:w="70"/>
              <w:left w:type="dxa" w:w="100"/>
              <w:bottom w:type="dxa" w:w="70"/>
              <w:right w:type="dxa" w:w="100"/>
            </w:tcMar>
            <w:vAlign w:val="center"/>
          </w:tcPr>
          <w:p>
            <w:pPr>
              <w:spacing w:after="30"/>
            </w:pPr>
            <w:r>
              <w:rPr>
                <w:color w:val="2A2A2A"/>
                <w:sz w:val="17"/>
                <w:szCs w:val="17"/>
              </w:rPr>
              <w:t xml:space="preserve">Spotlight Academy quiz engine live</w:t>
            </w:r>
          </w:p>
        </w:tc>
      </w:tr>
      <w:tr>
        <w:tc>
          <w:tcPr>
            <w:tcW w:type="dxa" w:w="2400"/>
            <w:shd w:fill="FFFFFF" w:val="clear"/>
            <w:tcMar>
              <w:top w:type="dxa" w:w="70"/>
              <w:left w:type="dxa" w:w="100"/>
              <w:bottom w:type="dxa" w:w="70"/>
              <w:right w:type="dxa" w:w="100"/>
            </w:tcMar>
            <w:vAlign w:val="center"/>
          </w:tcPr>
          <w:p>
            <w:pPr>
              <w:spacing w:after="30"/>
            </w:pPr>
            <w:r>
              <w:rPr>
                <w:color w:val="2A2A2A"/>
                <w:sz w:val="17"/>
                <w:szCs w:val="17"/>
              </w:rPr>
              <w:t xml:space="preserve">Phase 5 — Government &amp; trust layer</w:t>
            </w:r>
          </w:p>
        </w:tc>
        <w:tc>
          <w:tcPr>
            <w:tcW w:type="dxa" w:w="5260"/>
            <w:shd w:fill="FFFFFF" w:val="clear"/>
            <w:tcMar>
              <w:top w:type="dxa" w:w="70"/>
              <w:left w:type="dxa" w:w="100"/>
              <w:bottom w:type="dxa" w:w="70"/>
              <w:right w:type="dxa" w:w="100"/>
            </w:tcMar>
            <w:vAlign w:val="center"/>
          </w:tcPr>
          <w:p>
            <w:pPr>
              <w:spacing w:after="30"/>
            </w:pPr>
            <w:r>
              <w:rPr>
                <w:color w:val="2A2A2A"/>
                <w:sz w:val="17"/>
                <w:szCs w:val="17"/>
              </w:rPr>
              <w:t xml:space="preserve">UBEC/SUBEB export center, School Trust Score, Sponsor-a-Student</w:t>
            </w:r>
          </w:p>
        </w:tc>
        <w:tc>
          <w:tcPr>
            <w:tcW w:type="dxa" w:w="1700"/>
            <w:shd w:fill="FFFFFF" w:val="clear"/>
            <w:tcMar>
              <w:top w:type="dxa" w:w="70"/>
              <w:left w:type="dxa" w:w="100"/>
              <w:bottom w:type="dxa" w:w="70"/>
              <w:right w:type="dxa" w:w="100"/>
            </w:tcMar>
            <w:vAlign w:val="center"/>
          </w:tcPr>
          <w:p>
            <w:pPr>
              <w:spacing w:after="30"/>
            </w:pPr>
            <w:r>
              <w:rPr>
                <w:color w:val="2A2A2A"/>
                <w:sz w:val="17"/>
                <w:szCs w:val="17"/>
              </w:rPr>
              <w:t xml:space="preserve">Phases 1–3 stable in production</w:t>
            </w:r>
          </w:p>
        </w:tc>
      </w:tr>
      <w:tr>
        <w:tc>
          <w:tcPr>
            <w:tcW w:type="dxa" w:w="2400"/>
            <w:shd w:fill="F2F2F2" w:val="clear"/>
            <w:tcMar>
              <w:top w:type="dxa" w:w="70"/>
              <w:left w:type="dxa" w:w="100"/>
              <w:bottom w:type="dxa" w:w="70"/>
              <w:right w:type="dxa" w:w="100"/>
            </w:tcMar>
            <w:vAlign w:val="center"/>
          </w:tcPr>
          <w:p>
            <w:pPr>
              <w:spacing w:after="30"/>
            </w:pPr>
            <w:r>
              <w:rPr>
                <w:color w:val="2A2A2A"/>
                <w:sz w:val="17"/>
                <w:szCs w:val="17"/>
              </w:rPr>
              <w:t xml:space="preserve">Phase 6 — Broadcast tie-in</w:t>
            </w:r>
          </w:p>
        </w:tc>
        <w:tc>
          <w:tcPr>
            <w:tcW w:type="dxa" w:w="5260"/>
            <w:shd w:fill="F2F2F2" w:val="clear"/>
            <w:tcMar>
              <w:top w:type="dxa" w:w="70"/>
              <w:left w:type="dxa" w:w="100"/>
              <w:bottom w:type="dxa" w:w="70"/>
              <w:right w:type="dxa" w:w="100"/>
            </w:tcMar>
            <w:vAlign w:val="center"/>
          </w:tcPr>
          <w:p>
            <w:pPr>
              <w:spacing w:after="30"/>
            </w:pPr>
            <w:r>
              <w:rPr>
                <w:color w:val="2A2A2A"/>
                <w:sz w:val="17"/>
                <w:szCs w:val="17"/>
              </w:rPr>
              <w:t xml:space="preserve">Spotlight Schools Cup production pipeline, State Cup sponsorship tier</w:t>
            </w:r>
          </w:p>
        </w:tc>
        <w:tc>
          <w:tcPr>
            <w:tcW w:type="dxa" w:w="1700"/>
            <w:shd w:fill="F2F2F2" w:val="clear"/>
            <w:tcMar>
              <w:top w:type="dxa" w:w="70"/>
              <w:left w:type="dxa" w:w="100"/>
              <w:bottom w:type="dxa" w:w="70"/>
              <w:right w:type="dxa" w:w="100"/>
            </w:tcMar>
            <w:vAlign w:val="center"/>
          </w:tcPr>
          <w:p>
            <w:pPr>
              <w:spacing w:after="30"/>
            </w:pPr>
            <w:r>
              <w:rPr>
                <w:color w:val="2A2A2A"/>
                <w:sz w:val="17"/>
                <w:szCs w:val="17"/>
              </w:rPr>
              <w:t xml:space="preserve">Phase 4 proven with real usage data</w:t>
            </w:r>
          </w:p>
        </w:tc>
      </w:tr>
    </w:tbl>
    <w:p>
      <w:pPr>
        <w:pStyle w:val="Heading1"/>
        <w:pBdr>
          <w:bottom w:val="single" w:color="C9A227" w:sz="6" w:space="4"/>
        </w:pBdr>
        <w:spacing w:after="160" w:before="420"/>
      </w:pPr>
      <w:r>
        <w:rPr>
          <w:b/>
          <w:bCs/>
          <w:color w:val="0B2545"/>
          <w:sz w:val="30"/>
          <w:szCs w:val="30"/>
        </w:rPr>
        <w:t xml:space="preserve">10. Risks</w:t>
      </w:r>
    </w:p>
    <w:tbl>
      <w:tblPr>
        <w:tblW w:type="dxa" w:w="9360"/>
        <w:tblBorders>
          <w:top w:val="single" w:color="D5DCE3" w:sz="2"/>
          <w:left w:val="single" w:color="D5DCE3" w:sz="2"/>
          <w:bottom w:val="single" w:color="D5DCE3" w:sz="2"/>
          <w:right w:val="single" w:color="D5DCE3" w:sz="2"/>
          <w:insideH w:val="single" w:color="D5DCE3" w:sz="2"/>
          <w:insideV w:val="single" w:color="D5DCE3" w:sz="2"/>
        </w:tblBorders>
      </w:tblPr>
      <w:tblGrid>
        <w:gridCol w:w="3600"/>
        <w:gridCol w:w="5760"/>
      </w:tblGrid>
      <w:tr>
        <w:trPr>
          <w:tblHeader/>
        </w:trPr>
        <w:tc>
          <w:tcPr>
            <w:tcW w:type="dxa" w:w="3600"/>
            <w:shd w:fill="0B2545" w:val="clear"/>
            <w:tcMar>
              <w:top w:type="dxa" w:w="70"/>
              <w:left w:type="dxa" w:w="100"/>
              <w:bottom w:type="dxa" w:w="70"/>
              <w:right w:type="dxa" w:w="100"/>
            </w:tcMar>
            <w:vAlign w:val="center"/>
          </w:tcPr>
          <w:p>
            <w:r>
              <w:rPr>
                <w:b/>
                <w:bCs/>
                <w:color w:val="FFFFFF"/>
                <w:sz w:val="17"/>
                <w:szCs w:val="17"/>
              </w:rPr>
              <w:t xml:space="preserve">Risk</w:t>
            </w:r>
          </w:p>
        </w:tc>
        <w:tc>
          <w:tcPr>
            <w:tcW w:type="dxa" w:w="5760"/>
            <w:shd w:fill="0B2545" w:val="clear"/>
            <w:tcMar>
              <w:top w:type="dxa" w:w="70"/>
              <w:left w:type="dxa" w:w="100"/>
              <w:bottom w:type="dxa" w:w="70"/>
              <w:right w:type="dxa" w:w="100"/>
            </w:tcMar>
            <w:vAlign w:val="center"/>
          </w:tcPr>
          <w:p>
            <w:r>
              <w:rPr>
                <w:b/>
                <w:bCs/>
                <w:color w:val="FFFFFF"/>
                <w:sz w:val="17"/>
                <w:szCs w:val="17"/>
              </w:rPr>
              <w:t xml:space="preserve">Mitigation</w:t>
            </w:r>
          </w:p>
        </w:tc>
      </w:tr>
      <w:tr>
        <w:tc>
          <w:tcPr>
            <w:tcW w:type="dxa" w:w="3600"/>
            <w:shd w:fill="FFFFFF" w:val="clear"/>
            <w:tcMar>
              <w:top w:type="dxa" w:w="70"/>
              <w:left w:type="dxa" w:w="100"/>
              <w:bottom w:type="dxa" w:w="70"/>
              <w:right w:type="dxa" w:w="100"/>
            </w:tcMar>
            <w:vAlign w:val="center"/>
          </w:tcPr>
          <w:p>
            <w:pPr>
              <w:spacing w:after="30"/>
            </w:pPr>
            <w:r>
              <w:rPr>
                <w:color w:val="2A2A2A"/>
                <w:sz w:val="17"/>
                <w:szCs w:val="17"/>
              </w:rPr>
              <w:t xml:space="preserve">Installment structure drifts into unlicensed receivables factoring if Paymax ever fronts school fees</w:t>
            </w:r>
          </w:p>
        </w:tc>
        <w:tc>
          <w:tcPr>
            <w:tcW w:type="dxa" w:w="5760"/>
            <w:shd w:fill="FFFFFF" w:val="clear"/>
            <w:tcMar>
              <w:top w:type="dxa" w:w="70"/>
              <w:left w:type="dxa" w:w="100"/>
              <w:bottom w:type="dxa" w:w="70"/>
              <w:right w:type="dxa" w:w="100"/>
            </w:tcMar>
            <w:vAlign w:val="center"/>
          </w:tcPr>
          <w:p>
            <w:pPr>
              <w:spacing w:after="30"/>
            </w:pPr>
            <w:r>
              <w:rPr>
                <w:color w:val="2A2A2A"/>
                <w:sz w:val="17"/>
                <w:szCs w:val="17"/>
              </w:rPr>
              <w:t xml:space="preserve">Launch strictly on Model A (parent-paid-down installments only); treat factoring as a distinct, separately-licensed future product, not a default</w:t>
            </w:r>
          </w:p>
        </w:tc>
      </w:tr>
      <w:tr>
        <w:tc>
          <w:tcPr>
            <w:tcW w:type="dxa" w:w="3600"/>
            <w:shd w:fill="F2F2F2" w:val="clear"/>
            <w:tcMar>
              <w:top w:type="dxa" w:w="70"/>
              <w:left w:type="dxa" w:w="100"/>
              <w:bottom w:type="dxa" w:w="70"/>
              <w:right w:type="dxa" w:w="100"/>
            </w:tcMar>
            <w:vAlign w:val="center"/>
          </w:tcPr>
          <w:p>
            <w:pPr>
              <w:spacing w:after="30"/>
            </w:pPr>
            <w:r>
              <w:rPr>
                <w:color w:val="2A2A2A"/>
                <w:sz w:val="17"/>
                <w:szCs w:val="17"/>
              </w:rPr>
              <w:t xml:space="preserve">Fee enforcement bleeds into academic experience, harming a child's dignity over a parent's unpaid balance</w:t>
            </w:r>
          </w:p>
        </w:tc>
        <w:tc>
          <w:tcPr>
            <w:tcW w:type="dxa" w:w="5760"/>
            <w:shd w:fill="F2F2F2" w:val="clear"/>
            <w:tcMar>
              <w:top w:type="dxa" w:w="70"/>
              <w:left w:type="dxa" w:w="100"/>
              <w:bottom w:type="dxa" w:w="70"/>
              <w:right w:type="dxa" w:w="100"/>
            </w:tcMar>
            <w:vAlign w:val="center"/>
          </w:tcPr>
          <w:p>
            <w:pPr>
              <w:spacing w:after="30"/>
            </w:pPr>
            <w:r>
              <w:rPr>
                <w:color w:val="2A2A2A"/>
                <w:sz w:val="17"/>
                <w:szCs w:val="17"/>
              </w:rPr>
              <w:t xml:space="preserve">SF-4 as a hard architectural separation, not a policy suggestion — enforced at the data-access layer, not just in UI</w:t>
            </w:r>
          </w:p>
        </w:tc>
      </w:tr>
      <w:tr>
        <w:tc>
          <w:tcPr>
            <w:tcW w:type="dxa" w:w="3600"/>
            <w:shd w:fill="FFFFFF" w:val="clear"/>
            <w:tcMar>
              <w:top w:type="dxa" w:w="70"/>
              <w:left w:type="dxa" w:w="100"/>
              <w:bottom w:type="dxa" w:w="70"/>
              <w:right w:type="dxa" w:w="100"/>
            </w:tcMar>
            <w:vAlign w:val="center"/>
          </w:tcPr>
          <w:p>
            <w:pPr>
              <w:spacing w:after="30"/>
            </w:pPr>
            <w:r>
              <w:rPr>
                <w:color w:val="2A2A2A"/>
                <w:sz w:val="17"/>
                <w:szCs w:val="17"/>
              </w:rPr>
              <w:t xml:space="preserve">Schools distrust handing fee collection to a third-party platform</w:t>
            </w:r>
          </w:p>
        </w:tc>
        <w:tc>
          <w:tcPr>
            <w:tcW w:type="dxa" w:w="5760"/>
            <w:shd w:fill="FFFFFF" w:val="clear"/>
            <w:tcMar>
              <w:top w:type="dxa" w:w="70"/>
              <w:left w:type="dxa" w:w="100"/>
              <w:bottom w:type="dxa" w:w="70"/>
              <w:right w:type="dxa" w:w="100"/>
            </w:tcMar>
            <w:vAlign w:val="center"/>
          </w:tcPr>
          <w:p>
            <w:pPr>
              <w:spacing w:after="30"/>
            </w:pPr>
            <w:r>
              <w:rPr>
                <w:color w:val="2A2A2A"/>
                <w:sz w:val="17"/>
                <w:szCs w:val="17"/>
              </w:rPr>
              <w:t xml:space="preserve">Verification tiers, full data export rights (SF-10), and transparent nightly reconciliation visible to the school itself</w:t>
            </w:r>
          </w:p>
        </w:tc>
      </w:tr>
      <w:tr>
        <w:tc>
          <w:tcPr>
            <w:tcW w:type="dxa" w:w="3600"/>
            <w:shd w:fill="F2F2F2" w:val="clear"/>
            <w:tcMar>
              <w:top w:type="dxa" w:w="70"/>
              <w:left w:type="dxa" w:w="100"/>
              <w:bottom w:type="dxa" w:w="70"/>
              <w:right w:type="dxa" w:w="100"/>
            </w:tcMar>
            <w:vAlign w:val="center"/>
          </w:tcPr>
          <w:p>
            <w:pPr>
              <w:spacing w:after="30"/>
            </w:pPr>
            <w:r>
              <w:rPr>
                <w:color w:val="2A2A2A"/>
                <w:sz w:val="17"/>
                <w:szCs w:val="17"/>
              </w:rPr>
              <w:t xml:space="preserve">Promotion engine treated as fully automatic in practice, undermining teacher judgment</w:t>
            </w:r>
          </w:p>
        </w:tc>
        <w:tc>
          <w:tcPr>
            <w:tcW w:type="dxa" w:w="5760"/>
            <w:shd w:fill="F2F2F2" w:val="clear"/>
            <w:tcMar>
              <w:top w:type="dxa" w:w="70"/>
              <w:left w:type="dxa" w:w="100"/>
              <w:bottom w:type="dxa" w:w="70"/>
              <w:right w:type="dxa" w:w="100"/>
            </w:tcMar>
            <w:vAlign w:val="center"/>
          </w:tcPr>
          <w:p>
            <w:pPr>
              <w:spacing w:after="30"/>
            </w:pPr>
            <w:r>
              <w:rPr>
                <w:color w:val="2A2A2A"/>
                <w:sz w:val="17"/>
                <w:szCs w:val="17"/>
              </w:rPr>
              <w:t xml:space="preserve">Two-step human approval is structurally required before any class-assignment change — no single-click bypass</w:t>
            </w:r>
          </w:p>
        </w:tc>
      </w:tr>
      <w:tr>
        <w:tc>
          <w:tcPr>
            <w:tcW w:type="dxa" w:w="3600"/>
            <w:shd w:fill="FFFFFF" w:val="clear"/>
            <w:tcMar>
              <w:top w:type="dxa" w:w="70"/>
              <w:left w:type="dxa" w:w="100"/>
              <w:bottom w:type="dxa" w:w="70"/>
              <w:right w:type="dxa" w:w="100"/>
            </w:tcMar>
            <w:vAlign w:val="center"/>
          </w:tcPr>
          <w:p>
            <w:pPr>
              <w:spacing w:after="30"/>
            </w:pPr>
            <w:r>
              <w:rPr>
                <w:color w:val="2A2A2A"/>
                <w:sz w:val="17"/>
                <w:szCs w:val="17"/>
              </w:rPr>
              <w:t xml:space="preserve">Cross-school competition exposes minors' identity or performance data inappropriately</w:t>
            </w:r>
          </w:p>
        </w:tc>
        <w:tc>
          <w:tcPr>
            <w:tcW w:type="dxa" w:w="5760"/>
            <w:shd w:fill="FFFFFF" w:val="clear"/>
            <w:tcMar>
              <w:top w:type="dxa" w:w="70"/>
              <w:left w:type="dxa" w:w="100"/>
              <w:bottom w:type="dxa" w:w="70"/>
              <w:right w:type="dxa" w:w="100"/>
            </w:tcMar>
            <w:vAlign w:val="center"/>
          </w:tcPr>
          <w:p>
            <w:pPr>
              <w:spacing w:after="30"/>
            </w:pPr>
            <w:r>
              <w:rPr>
                <w:color w:val="2A2A2A"/>
                <w:sz w:val="17"/>
                <w:szCs w:val="17"/>
              </w:rPr>
              <w:t xml:space="preserve">SF-7 default-anonymized public display; full identity never shown without explicit parental consent</w:t>
            </w:r>
          </w:p>
        </w:tc>
      </w:tr>
      <w:tr>
        <w:tc>
          <w:tcPr>
            <w:tcW w:type="dxa" w:w="3600"/>
            <w:shd w:fill="F2F2F2" w:val="clear"/>
            <w:tcMar>
              <w:top w:type="dxa" w:w="70"/>
              <w:left w:type="dxa" w:w="100"/>
              <w:bottom w:type="dxa" w:w="70"/>
              <w:right w:type="dxa" w:w="100"/>
            </w:tcMar>
            <w:vAlign w:val="center"/>
          </w:tcPr>
          <w:p>
            <w:pPr>
              <w:spacing w:after="30"/>
            </w:pPr>
            <w:r>
              <w:rPr>
                <w:color w:val="2A2A2A"/>
                <w:sz w:val="17"/>
                <w:szCs w:val="17"/>
              </w:rPr>
              <w:t xml:space="preserve">Government reporting sync perceived as surveillance rather than support</w:t>
            </w:r>
          </w:p>
        </w:tc>
        <w:tc>
          <w:tcPr>
            <w:tcW w:type="dxa" w:w="5760"/>
            <w:shd w:fill="F2F2F2" w:val="clear"/>
            <w:tcMar>
              <w:top w:type="dxa" w:w="70"/>
              <w:left w:type="dxa" w:w="100"/>
              <w:bottom w:type="dxa" w:w="70"/>
              <w:right w:type="dxa" w:w="100"/>
            </w:tcMar>
            <w:vAlign w:val="center"/>
          </w:tcPr>
          <w:p>
            <w:pPr>
              <w:spacing w:after="30"/>
            </w:pPr>
            <w:r>
              <w:rPr>
                <w:color w:val="2A2A2A"/>
                <w:sz w:val="17"/>
                <w:szCs w:val="17"/>
              </w:rPr>
              <w:t xml:space="preserve">Strictly opt-in per school, per category (SF-11); frame and market as compliance-simplification, not obligation</w:t>
            </w:r>
          </w:p>
        </w:tc>
      </w:tr>
    </w:tbl>
    <w:p>
      <w:pPr>
        <w:spacing w:after="100"/>
      </w:pPr>
      <w:r>
        <w:t xml:space="preserve"/>
      </w:r>
    </w:p>
    <w:p>
      <w:pPr>
        <w:spacing w:after="160" w:line="300"/>
      </w:pPr>
      <w:r>
        <w:rPr>
          <w:b w:val="false"/>
          <w:bCs w:val="false"/>
          <w:i/>
          <w:iCs/>
          <w:color w:val="1A1A1A"/>
          <w:sz w:val="21"/>
          <w:szCs w:val="21"/>
        </w:rPr>
        <w:t xml:space="preserve">Want this converted into a Claude-Code-ready build package next — CLAUDE.addendum.md with the SF-1…SF-12 invariants formalized, BUILD-PLAN.md with story points per epic, and focused reference docs for the fee state machine, promotion engine, and competition scoring — the same way the BNPL, Health Verticals, and Global Stocks modules were packaged?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2026-07-08T00:08:42.902Z</dcterms:created>
  <dcterms:modified xsi:type="dcterms:W3CDTF">2026-07-08T00:08:42.914Z</dcterms:modified>
</cp:coreProperties>
</file>

<file path=docProps/custom.xml><?xml version="1.0" encoding="utf-8"?>
<Properties xmlns="http://schemas.openxmlformats.org/officeDocument/2006/custom-properties" xmlns:vt="http://schemas.openxmlformats.org/officeDocument/2006/docPropsVTypes"/>
</file>