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F4E79"/>
          <w:sz w:val="40"/>
          <w:szCs w:val="40"/>
        </w:rPr>
        <w:t xml:space="preserve">ProductPlan — Weekly Market Intelligence</w:t>
      </w:r>
    </w:p>
    <w:p>
      <w:pPr>
        <w:spacing w:after="120"/>
      </w:pPr>
      <w:r>
        <w:rPr>
          <w:color w:val="555555"/>
          <w:sz w:val="20"/>
          <w:szCs w:val="20"/>
        </w:rPr>
        <w:t xml:space="preserve">Week of June 15, 2026  |  Product Intelligence Platform  |  Prepared by Marketing Research Partner</w:t>
      </w:r>
    </w:p>
    <w:p>
      <w:pPr>
        <w:pBdr>
          <w:bottom w:val="single" w:color="1F4E79" w:sz="6" w:space="1"/>
        </w:pBdr>
      </w:pPr>
    </w:p>
    <w:p>
      <w:pPr>
        <w:pStyle w:val="Heading1"/>
      </w:pPr>
      <w:r>
        <w:t xml:space="preserve">Executive Note</w:t>
      </w:r>
    </w:p>
    <w:p>
      <w:pPr>
        <w:spacing w:after="100"/>
      </w:pPr>
      <w:r>
        <w:rPr>
          <w:sz w:val="22"/>
          <w:szCs w:val="22"/>
        </w:rPr>
        <w:t xml:space="preserve">Three findings define this week, and all three point the same direction: the market is converging on ProductPlan's core thesis — AI synthesis of customer signal to decide what to build.</w:t>
      </w:r>
    </w:p>
    <w:p>
      <w:pPr>
        <w:pStyle w:val="ListParagraph"/>
        <w:numPr>
          <w:ilvl w:val="0"/>
          <w:numId w:val="2"/>
        </w:numPr>
      </w:pPr>
      <w:r>
        <w:rPr>
          <w:b/>
          <w:bCs/>
        </w:rPr>
        <w:t xml:space="preserve">Competitors are buying ProductPlan's strategy. </w:t>
      </w:r>
      <w:r>
        <w:rPr>
          <w:sz w:val="22"/>
          <w:szCs w:val="22"/>
        </w:rPr>
        <w:t xml:space="preserve">Atlassian is embedding the acquired Cycle AI feedback engine into Jira Product Discovery — a direct parallel to ProductPlan's Winware.ai acquisition, but bolted onto an engineering tool rather than purpose-built.</w:t>
      </w:r>
    </w:p>
    <w:p>
      <w:pPr>
        <w:pStyle w:val="ListParagraph"/>
        <w:numPr>
          <w:ilvl w:val="0"/>
          <w:numId w:val="2"/>
        </w:numPr>
      </w:pPr>
      <w:r>
        <w:rPr>
          <w:b/>
          <w:bCs/>
        </w:rPr>
        <w:t xml:space="preserve">The category narrative is up for grabs. </w:t>
      </w:r>
      <w:r>
        <w:rPr>
          <w:sz w:val="22"/>
          <w:szCs w:val="22"/>
        </w:rPr>
        <w:t xml:space="preserve">Atlassian's State of Product 2026 (84% of PMs fear building the wrong thing) frames the core problem as decision-making, not execution — almost verbatim the Product Intelligence pitch. ProductPlan should claim this language before a competitor owns it.</w:t>
      </w:r>
    </w:p>
    <w:p>
      <w:pPr>
        <w:pStyle w:val="ListParagraph"/>
        <w:numPr>
          <w:ilvl w:val="0"/>
          <w:numId w:val="2"/>
        </w:numPr>
      </w:pPr>
      <w:r>
        <w:rPr>
          <w:b/>
          <w:bCs/>
        </w:rPr>
        <w:t xml:space="preserve">Buyers are tiring of AI hype. </w:t>
      </w:r>
      <w:r>
        <w:rPr>
          <w:sz w:val="22"/>
          <w:szCs w:val="22"/>
        </w:rPr>
        <w:t xml:space="preserve">Practitioner guides now stress “synthesis quality” and “every claim traceable to a source quote” — exactly Winware’s value. The opening is disciplined, evidence-based AI, not another generic copilot.</w:t>
      </w:r>
    </w:p>
    <w:p>
      <w:pPr>
        <w:spacing w:after="80" w:before="80"/>
      </w:pPr>
      <w:r>
        <w:rPr>
          <w:i/>
          <w:iCs/>
          <w:color w:val="555555"/>
          <w:sz w:val="18"/>
          <w:szCs w:val="18"/>
        </w:rPr>
        <w:t xml:space="preserve">Note on window: genuine net-new product-management news in the strict last-7-days window was thin. Per research standards, the most recent and momentum-carrying items from the past several weeks are included, with dates and confidence noted. Competitor moves (Atlassian/Cycle, monday.com) are ongoing storylines still generating June 2026 coverage.</w:t>
      </w:r>
    </w:p>
    <w:p>
      <w:pPr>
        <w:pStyle w:val="Heading1"/>
      </w:pPr>
      <w:r>
        <w:t xml:space="preserve">Article &amp; News Recommendations</w:t>
      </w:r>
    </w:p>
    <w:p>
      <w:pPr>
        <w:spacing w:after="100"/>
      </w:pPr>
      <w:r>
        <w:rPr>
          <w:i/>
          <w:iCs/>
          <w:color w:val="555555"/>
          <w:sz w:val="20"/>
          <w:szCs w:val="20"/>
        </w:rPr>
        <w:t xml:space="preserve">Sorted by relevance to ProductPlan's ICP, positioning, and competitive set (5 = highest).</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850"/>
        <w:gridCol w:w="2850"/>
        <w:gridCol w:w="1750"/>
        <w:gridCol w:w="700"/>
        <w:gridCol w:w="2250"/>
        <w:gridCol w:w="2160"/>
      </w:tblGrid>
      <w:tr>
        <w:trPr>
          <w:tblHeader/>
        </w:trPr>
        <w:tc>
          <w:tcPr>
            <w:tcW w:type="dxa" w:w="2400"/>
            <w:tcBorders>
              <w:top w:val="single" w:color="B7C6D9" w:sz="1"/>
              <w:left w:val="single" w:color="B7C6D9" w:sz="1"/>
              <w:bottom w:val="single" w:color="B7C6D9" w:sz="1"/>
              <w:right w:val="single" w:color="B7C6D9" w:sz="1"/>
            </w:tcBorders>
            <w:shd w:fill="1F4E79" w:val="clear"/>
            <w:tcMar>
              <w:top w:type="dxa" w:w="80"/>
              <w:left w:type="dxa" w:w="100"/>
              <w:bottom w:type="dxa" w:w="80"/>
              <w:right w:type="dxa" w:w="100"/>
            </w:tcMar>
          </w:tcPr>
          <w:p>
            <w:pPr>
              <w:spacing w:after="0"/>
            </w:pPr>
            <w:r>
              <w:rPr>
                <w:b/>
                <w:bCs/>
                <w:color w:val="FFFFFF"/>
                <w:sz w:val="18"/>
                <w:szCs w:val="18"/>
              </w:rPr>
              <w:t xml:space="preserve">Headline &amp; Source</w:t>
            </w:r>
          </w:p>
        </w:tc>
        <w:tc>
          <w:tcPr>
            <w:tcW w:type="dxa" w:w="850"/>
            <w:tcBorders>
              <w:top w:val="single" w:color="B7C6D9" w:sz="1"/>
              <w:left w:val="single" w:color="B7C6D9" w:sz="1"/>
              <w:bottom w:val="single" w:color="B7C6D9" w:sz="1"/>
              <w:right w:val="single" w:color="B7C6D9" w:sz="1"/>
            </w:tcBorders>
            <w:shd w:fill="1F4E79" w:val="clear"/>
            <w:tcMar>
              <w:top w:type="dxa" w:w="80"/>
              <w:left w:type="dxa" w:w="100"/>
              <w:bottom w:type="dxa" w:w="80"/>
              <w:right w:type="dxa" w:w="100"/>
            </w:tcMar>
          </w:tcPr>
          <w:p>
            <w:pPr>
              <w:spacing w:after="0"/>
            </w:pPr>
            <w:r>
              <w:rPr>
                <w:b/>
                <w:bCs/>
                <w:color w:val="FFFFFF"/>
                <w:sz w:val="18"/>
                <w:szCs w:val="18"/>
              </w:rPr>
              <w:t xml:space="preserve">Date</w:t>
            </w:r>
          </w:p>
        </w:tc>
        <w:tc>
          <w:tcPr>
            <w:tcW w:type="dxa" w:w="2850"/>
            <w:tcBorders>
              <w:top w:val="single" w:color="B7C6D9" w:sz="1"/>
              <w:left w:val="single" w:color="B7C6D9" w:sz="1"/>
              <w:bottom w:val="single" w:color="B7C6D9" w:sz="1"/>
              <w:right w:val="single" w:color="B7C6D9" w:sz="1"/>
            </w:tcBorders>
            <w:shd w:fill="1F4E79" w:val="clear"/>
            <w:tcMar>
              <w:top w:type="dxa" w:w="80"/>
              <w:left w:type="dxa" w:w="100"/>
              <w:bottom w:type="dxa" w:w="80"/>
              <w:right w:type="dxa" w:w="100"/>
            </w:tcMar>
          </w:tcPr>
          <w:p>
            <w:pPr>
              <w:spacing w:after="0"/>
            </w:pPr>
            <w:r>
              <w:rPr>
                <w:b/>
                <w:bCs/>
                <w:color w:val="FFFFFF"/>
                <w:sz w:val="18"/>
                <w:szCs w:val="18"/>
              </w:rPr>
              <w:t xml:space="preserve">Summary</w:t>
            </w:r>
          </w:p>
        </w:tc>
        <w:tc>
          <w:tcPr>
            <w:tcW w:type="dxa" w:w="1750"/>
            <w:tcBorders>
              <w:top w:val="single" w:color="B7C6D9" w:sz="1"/>
              <w:left w:val="single" w:color="B7C6D9" w:sz="1"/>
              <w:bottom w:val="single" w:color="B7C6D9" w:sz="1"/>
              <w:right w:val="single" w:color="B7C6D9" w:sz="1"/>
            </w:tcBorders>
            <w:shd w:fill="1F4E79" w:val="clear"/>
            <w:tcMar>
              <w:top w:type="dxa" w:w="80"/>
              <w:left w:type="dxa" w:w="100"/>
              <w:bottom w:type="dxa" w:w="80"/>
              <w:right w:type="dxa" w:w="100"/>
            </w:tcMar>
          </w:tcPr>
          <w:p>
            <w:pPr>
              <w:spacing w:after="0"/>
            </w:pPr>
            <w:r>
              <w:rPr>
                <w:b/>
                <w:bCs/>
                <w:color w:val="FFFFFF"/>
                <w:sz w:val="18"/>
                <w:szCs w:val="18"/>
              </w:rPr>
              <w:t xml:space="preserve">Keywords (context)</w:t>
            </w:r>
          </w:p>
        </w:tc>
        <w:tc>
          <w:tcPr>
            <w:tcW w:type="dxa" w:w="700"/>
            <w:tcBorders>
              <w:top w:val="single" w:color="B7C6D9" w:sz="1"/>
              <w:left w:val="single" w:color="B7C6D9" w:sz="1"/>
              <w:bottom w:val="single" w:color="B7C6D9" w:sz="1"/>
              <w:right w:val="single" w:color="B7C6D9" w:sz="1"/>
            </w:tcBorders>
            <w:shd w:fill="1F4E79" w:val="clear"/>
            <w:tcMar>
              <w:top w:type="dxa" w:w="80"/>
              <w:left w:type="dxa" w:w="100"/>
              <w:bottom w:type="dxa" w:w="80"/>
              <w:right w:type="dxa" w:w="100"/>
            </w:tcMar>
          </w:tcPr>
          <w:p>
            <w:pPr>
              <w:spacing w:after="0"/>
            </w:pPr>
            <w:r>
              <w:rPr>
                <w:b/>
                <w:bCs/>
                <w:color w:val="FFFFFF"/>
                <w:sz w:val="18"/>
                <w:szCs w:val="18"/>
              </w:rPr>
              <w:t xml:space="preserve">Score</w:t>
            </w:r>
          </w:p>
        </w:tc>
        <w:tc>
          <w:tcPr>
            <w:tcW w:type="dxa" w:w="2250"/>
            <w:tcBorders>
              <w:top w:val="single" w:color="B7C6D9" w:sz="1"/>
              <w:left w:val="single" w:color="B7C6D9" w:sz="1"/>
              <w:bottom w:val="single" w:color="B7C6D9" w:sz="1"/>
              <w:right w:val="single" w:color="B7C6D9" w:sz="1"/>
            </w:tcBorders>
            <w:shd w:fill="1F4E79" w:val="clear"/>
            <w:tcMar>
              <w:top w:type="dxa" w:w="80"/>
              <w:left w:type="dxa" w:w="100"/>
              <w:bottom w:type="dxa" w:w="80"/>
              <w:right w:type="dxa" w:w="100"/>
            </w:tcMar>
          </w:tcPr>
          <w:p>
            <w:pPr>
              <w:spacing w:after="0"/>
            </w:pPr>
            <w:r>
              <w:rPr>
                <w:b/>
                <w:bCs/>
                <w:color w:val="FFFFFF"/>
                <w:sz w:val="18"/>
                <w:szCs w:val="18"/>
              </w:rPr>
              <w:t xml:space="preserve">Engagement ideas</w:t>
            </w:r>
          </w:p>
        </w:tc>
        <w:tc>
          <w:tcPr>
            <w:tcW w:type="dxa" w:w="2160"/>
            <w:tcBorders>
              <w:top w:val="single" w:color="B7C6D9" w:sz="1"/>
              <w:left w:val="single" w:color="B7C6D9" w:sz="1"/>
              <w:bottom w:val="single" w:color="B7C6D9" w:sz="1"/>
              <w:right w:val="single" w:color="B7C6D9" w:sz="1"/>
            </w:tcBorders>
            <w:shd w:fill="1F4E79" w:val="clear"/>
            <w:tcMar>
              <w:top w:type="dxa" w:w="80"/>
              <w:left w:type="dxa" w:w="100"/>
              <w:bottom w:type="dxa" w:w="80"/>
              <w:right w:type="dxa" w:w="100"/>
            </w:tcMar>
          </w:tcPr>
          <w:p>
            <w:pPr>
              <w:spacing w:after="0"/>
            </w:pPr>
            <w:r>
              <w:rPr>
                <w:b/>
                <w:bCs/>
                <w:color w:val="FFFFFF"/>
                <w:sz w:val="18"/>
                <w:szCs w:val="18"/>
              </w:rPr>
              <w:t xml:space="preserve">ProductPlan fit</w:t>
            </w:r>
          </w:p>
        </w:tc>
      </w:tr>
      <w:tr>
        <w:tc>
          <w:tcPr>
            <w:tcW w:type="dxa" w:w="2400"/>
            <w:tcBorders>
              <w:top w:val="single" w:color="B7C6D9" w:sz="1"/>
              <w:left w:val="single" w:color="B7C6D9" w:sz="1"/>
              <w:bottom w:val="single" w:color="B7C6D9" w:sz="1"/>
              <w:right w:val="single" w:color="B7C6D9" w:sz="1"/>
            </w:tcBorders>
            <w:shd w:fill="FFFFFF" w:val="clear"/>
            <w:tcMar>
              <w:top w:type="dxa" w:w="80"/>
              <w:left w:type="dxa" w:w="100"/>
              <w:bottom w:type="dxa" w:w="80"/>
              <w:right w:type="dxa" w:w="100"/>
            </w:tcMar>
          </w:tcPr>
          <w:p>
            <w:pPr>
              <w:spacing w:after="40"/>
            </w:pPr>
            <w:r>
              <w:rPr>
                <w:b/>
                <w:bCs/>
                <w:sz w:val="18"/>
                <w:szCs w:val="18"/>
              </w:rPr>
              <w:t xml:space="preserve">Cycle is joining Atlassian — AI feedback engine moves into Jira Product Discovery</w:t>
            </w:r>
          </w:p>
          <w:p>
            <w:pPr>
              <w:spacing w:after="40"/>
            </w:pPr>
            <w:r>
              <w:rPr>
                <w:i/>
                <w:iCs/>
                <w:color w:val="555555"/>
                <w:sz w:val="16"/>
                <w:szCs w:val="16"/>
              </w:rPr>
              <w:t xml:space="preserve">Inside Atlassian (atlassian.com)</w:t>
            </w:r>
          </w:p>
          <w:p>
            <w:hyperlink w:history="1" r:id="rIdzwn_4-yoznb7etbkn4vx1">
              <w:r>
                <w:rPr>
                  <w:rStyle w:val="Hyperlink"/>
                  <w:sz w:val="16"/>
                  <w:szCs w:val="16"/>
                </w:rPr>
                <w:t xml:space="preserve">Link</w:t>
              </w:r>
            </w:hyperlink>
          </w:p>
        </w:tc>
        <w:tc>
          <w:tcPr>
            <w:tcW w:type="dxa" w:w="850"/>
            <w:tcBorders>
              <w:top w:val="single" w:color="B7C6D9" w:sz="1"/>
              <w:left w:val="single" w:color="B7C6D9" w:sz="1"/>
              <w:bottom w:val="single" w:color="B7C6D9" w:sz="1"/>
              <w:right w:val="single" w:color="B7C6D9" w:sz="1"/>
            </w:tcBorders>
            <w:shd w:fill="FFFFFF" w:val="clear"/>
            <w:tcMar>
              <w:top w:type="dxa" w:w="80"/>
              <w:left w:type="dxa" w:w="100"/>
              <w:bottom w:type="dxa" w:w="80"/>
              <w:right w:type="dxa" w:w="100"/>
            </w:tcMar>
          </w:tcPr>
          <w:p>
            <w:pPr>
              <w:spacing w:after="0"/>
              <w:jc w:val="left"/>
            </w:pPr>
            <w:r>
              <w:rPr>
                <w:b w:val="false"/>
                <w:bCs w:val="false"/>
                <w:sz w:val="18"/>
                <w:szCs w:val="18"/>
              </w:rPr>
              <w:t xml:space="preserve">Updated 2026 (orig. Sep 2025)</w:t>
            </w:r>
          </w:p>
        </w:tc>
        <w:tc>
          <w:tcPr>
            <w:tcW w:type="dxa" w:w="2850"/>
            <w:tcBorders>
              <w:top w:val="single" w:color="B7C6D9" w:sz="1"/>
              <w:left w:val="single" w:color="B7C6D9" w:sz="1"/>
              <w:bottom w:val="single" w:color="B7C6D9" w:sz="1"/>
              <w:right w:val="single" w:color="B7C6D9" w:sz="1"/>
            </w:tcBorders>
            <w:shd w:fill="FFFFFF" w:val="clear"/>
            <w:tcMar>
              <w:top w:type="dxa" w:w="80"/>
              <w:left w:type="dxa" w:w="100"/>
              <w:bottom w:type="dxa" w:w="80"/>
              <w:right w:type="dxa" w:w="100"/>
            </w:tcMar>
          </w:tcPr>
          <w:p>
            <w:pPr>
              <w:spacing w:after="0"/>
              <w:jc w:val="left"/>
            </w:pPr>
            <w:r>
              <w:rPr>
                <w:b w:val="false"/>
                <w:bCs w:val="false"/>
                <w:sz w:val="18"/>
                <w:szCs w:val="18"/>
              </w:rPr>
              <w:t xml:space="preserve">Atlassian acquired French startup Cycle, an AI platform that captures and synthesizes customer feedback at scale, and is embedding its engine inside Jira Product Discovery. The narrative ties directly to Atlassian's 2026 State of Product finding that 84% of PMs fear shipping the wrong thing. Coverage and alternative round-ups are still circulating in June 2026 as the standalone product sunsets.</w:t>
            </w:r>
          </w:p>
        </w:tc>
        <w:tc>
          <w:tcPr>
            <w:tcW w:type="dxa" w:w="1750"/>
            <w:tcBorders>
              <w:top w:val="single" w:color="B7C6D9" w:sz="1"/>
              <w:left w:val="single" w:color="B7C6D9" w:sz="1"/>
              <w:bottom w:val="single" w:color="B7C6D9" w:sz="1"/>
              <w:right w:val="single" w:color="B7C6D9" w:sz="1"/>
            </w:tcBorders>
            <w:shd w:fill="FFFFFF" w:val="clear"/>
            <w:tcMar>
              <w:top w:type="dxa" w:w="80"/>
              <w:left w:type="dxa" w:w="100"/>
              <w:bottom w:type="dxa" w:w="80"/>
              <w:right w:type="dxa" w:w="100"/>
            </w:tcMar>
          </w:tcPr>
          <w:p>
            <w:pPr>
              <w:spacing w:after="0"/>
              <w:jc w:val="left"/>
            </w:pPr>
            <w:r>
              <w:rPr>
                <w:b w:val="false"/>
                <w:bCs w:val="false"/>
                <w:sz w:val="18"/>
                <w:szCs w:val="18"/>
              </w:rPr>
              <w:t xml:space="preserve">“customer insights,” “feedback synthesis,” “product discovery” — central to the piece; AI feedback engine framed as core to prioritization.</w:t>
            </w:r>
          </w:p>
        </w:tc>
        <w:tc>
          <w:tcPr>
            <w:tcW w:type="dxa" w:w="700"/>
            <w:tcBorders>
              <w:top w:val="single" w:color="B7C6D9" w:sz="1"/>
              <w:left w:val="single" w:color="B7C6D9" w:sz="1"/>
              <w:bottom w:val="single" w:color="B7C6D9" w:sz="1"/>
              <w:right w:val="single" w:color="B7C6D9" w:sz="1"/>
            </w:tcBorders>
            <w:shd w:fill="FFFFFF" w:val="clear"/>
            <w:tcMar>
              <w:top w:type="dxa" w:w="80"/>
              <w:left w:type="dxa" w:w="100"/>
              <w:bottom w:type="dxa" w:w="80"/>
              <w:right w:type="dxa" w:w="100"/>
            </w:tcMar>
            <w:vAlign w:val="center"/>
          </w:tcPr>
          <w:p>
            <w:pPr>
              <w:spacing w:after="0"/>
              <w:jc w:val="center"/>
            </w:pPr>
            <w:r>
              <w:rPr>
                <w:b/>
                <w:bCs/>
                <w:sz w:val="18"/>
                <w:szCs w:val="18"/>
              </w:rPr>
              <w:t xml:space="preserve">5</w:t>
            </w:r>
          </w:p>
        </w:tc>
        <w:tc>
          <w:tcPr>
            <w:tcW w:type="dxa" w:w="2250"/>
            <w:tcBorders>
              <w:top w:val="single" w:color="B7C6D9" w:sz="1"/>
              <w:left w:val="single" w:color="B7C6D9" w:sz="1"/>
              <w:bottom w:val="single" w:color="B7C6D9" w:sz="1"/>
              <w:right w:val="single" w:color="B7C6D9" w:sz="1"/>
            </w:tcBorders>
            <w:shd w:fill="FFFFFF" w:val="clear"/>
            <w:tcMar>
              <w:top w:type="dxa" w:w="80"/>
              <w:left w:type="dxa" w:w="100"/>
              <w:bottom w:type="dxa" w:w="80"/>
              <w:right w:type="dxa" w:w="100"/>
            </w:tcMar>
          </w:tcPr>
          <w:p>
            <w:pPr>
              <w:spacing w:after="0"/>
              <w:jc w:val="left"/>
            </w:pPr>
            <w:r>
              <w:rPr>
                <w:b w:val="false"/>
                <w:bCs w:val="false"/>
                <w:sz w:val="18"/>
                <w:szCs w:val="18"/>
              </w:rPr>
              <w:t xml:space="preserve">Sales talking point + competitive battlecard: contrast a bolt-on feedback engine inside an eng tool vs. a purpose-built Product Intelligence Platform. LinkedIn POV from CEO Steven Cohn on why intelligence shouldn't be a Jira add-on.</w:t>
            </w:r>
          </w:p>
        </w:tc>
        <w:tc>
          <w:tcPr>
            <w:tcW w:type="dxa" w:w="2160"/>
            <w:tcBorders>
              <w:top w:val="single" w:color="B7C6D9" w:sz="1"/>
              <w:left w:val="single" w:color="B7C6D9" w:sz="1"/>
              <w:bottom w:val="single" w:color="B7C6D9" w:sz="1"/>
              <w:right w:val="single" w:color="B7C6D9" w:sz="1"/>
            </w:tcBorders>
            <w:shd w:fill="FFFFFF" w:val="clear"/>
            <w:tcMar>
              <w:top w:type="dxa" w:w="80"/>
              <w:left w:type="dxa" w:w="100"/>
              <w:bottom w:type="dxa" w:w="80"/>
              <w:right w:type="dxa" w:w="100"/>
            </w:tcMar>
          </w:tcPr>
          <w:p>
            <w:pPr>
              <w:spacing w:after="0"/>
              <w:jc w:val="left"/>
            </w:pPr>
            <w:r>
              <w:rPr>
                <w:b w:val="false"/>
                <w:bCs w:val="false"/>
                <w:sz w:val="18"/>
                <w:szCs w:val="18"/>
              </w:rPr>
              <w:t xml:space="preserve">This is the clearest validation of ProductPlan's thesis: the market is converging on AI synthesis of customer signal. ProductPlan did it first via Winware.ai and natively, not as an acquisition stapled onto an engineering backlog tool.</w:t>
            </w:r>
          </w:p>
        </w:tc>
      </w:tr>
      <w:tr>
        <w:tc>
          <w:tcPr>
            <w:tcW w:type="dxa" w:w="2400"/>
            <w:tcBorders>
              <w:top w:val="single" w:color="B7C6D9" w:sz="1"/>
              <w:left w:val="single" w:color="B7C6D9" w:sz="1"/>
              <w:bottom w:val="single" w:color="B7C6D9" w:sz="1"/>
              <w:right w:val="single" w:color="B7C6D9" w:sz="1"/>
            </w:tcBorders>
            <w:shd w:fill="EAF1F8" w:val="clear"/>
            <w:tcMar>
              <w:top w:type="dxa" w:w="80"/>
              <w:left w:type="dxa" w:w="100"/>
              <w:bottom w:type="dxa" w:w="80"/>
              <w:right w:type="dxa" w:w="100"/>
            </w:tcMar>
          </w:tcPr>
          <w:p>
            <w:pPr>
              <w:spacing w:after="40"/>
            </w:pPr>
            <w:r>
              <w:rPr>
                <w:b/>
                <w:bCs/>
                <w:sz w:val="18"/>
                <w:szCs w:val="18"/>
              </w:rPr>
              <w:t xml:space="preserve">monday.com relaunches as an AI Work Platform with native agents</w:t>
            </w:r>
          </w:p>
          <w:p>
            <w:pPr>
              <w:spacing w:after="40"/>
            </w:pPr>
            <w:r>
              <w:rPr>
                <w:i/>
                <w:iCs/>
                <w:color w:val="555555"/>
                <w:sz w:val="16"/>
                <w:szCs w:val="16"/>
              </w:rPr>
              <w:t xml:space="preserve">SiliconANGLE</w:t>
            </w:r>
          </w:p>
          <w:p>
            <w:hyperlink w:history="1" r:id="rId9i53wzikwxi_pdbua1agi">
              <w:r>
                <w:rPr>
                  <w:rStyle w:val="Hyperlink"/>
                  <w:sz w:val="16"/>
                  <w:szCs w:val="16"/>
                </w:rPr>
                <w:t xml:space="preserve">Link</w:t>
              </w:r>
            </w:hyperlink>
          </w:p>
        </w:tc>
        <w:tc>
          <w:tcPr>
            <w:tcW w:type="dxa" w:w="850"/>
            <w:tcBorders>
              <w:top w:val="single" w:color="B7C6D9" w:sz="1"/>
              <w:left w:val="single" w:color="B7C6D9" w:sz="1"/>
              <w:bottom w:val="single" w:color="B7C6D9" w:sz="1"/>
              <w:right w:val="single" w:color="B7C6D9" w:sz="1"/>
            </w:tcBorders>
            <w:shd w:fill="EAF1F8" w:val="clear"/>
            <w:tcMar>
              <w:top w:type="dxa" w:w="80"/>
              <w:left w:type="dxa" w:w="100"/>
              <w:bottom w:type="dxa" w:w="80"/>
              <w:right w:type="dxa" w:w="100"/>
            </w:tcMar>
          </w:tcPr>
          <w:p>
            <w:pPr>
              <w:spacing w:after="0"/>
              <w:jc w:val="left"/>
            </w:pPr>
            <w:r>
              <w:rPr>
                <w:b w:val="false"/>
                <w:bCs w:val="false"/>
                <w:sz w:val="18"/>
                <w:szCs w:val="18"/>
              </w:rPr>
              <w:t xml:space="preserve">May 6, 2026 (June product updates ongoing)</w:t>
            </w:r>
          </w:p>
        </w:tc>
        <w:tc>
          <w:tcPr>
            <w:tcW w:type="dxa" w:w="2850"/>
            <w:tcBorders>
              <w:top w:val="single" w:color="B7C6D9" w:sz="1"/>
              <w:left w:val="single" w:color="B7C6D9" w:sz="1"/>
              <w:bottom w:val="single" w:color="B7C6D9" w:sz="1"/>
              <w:right w:val="single" w:color="B7C6D9" w:sz="1"/>
            </w:tcBorders>
            <w:shd w:fill="EAF1F8" w:val="clear"/>
            <w:tcMar>
              <w:top w:type="dxa" w:w="80"/>
              <w:left w:type="dxa" w:w="100"/>
              <w:bottom w:type="dxa" w:w="80"/>
              <w:right w:type="dxa" w:w="100"/>
            </w:tcMar>
          </w:tcPr>
          <w:p>
            <w:pPr>
              <w:spacing w:after="0"/>
              <w:jc w:val="left"/>
            </w:pPr>
            <w:r>
              <w:rPr>
                <w:b w:val="false"/>
                <w:bCs w:val="false"/>
                <w:sz w:val="18"/>
                <w:szCs w:val="18"/>
              </w:rPr>
              <w:t xml:space="preserve">monday.com repositioned its entire suite as an AI Work Platform with configurable native agents across work management, CRM, service and dev. The company is pushing a single-AI-layer consolidation pitch to 250,000+ customers. June 2026 release notes add workflow automation and subitem tracking enhancements.</w:t>
            </w:r>
          </w:p>
        </w:tc>
        <w:tc>
          <w:tcPr>
            <w:tcW w:type="dxa" w:w="1750"/>
            <w:tcBorders>
              <w:top w:val="single" w:color="B7C6D9" w:sz="1"/>
              <w:left w:val="single" w:color="B7C6D9" w:sz="1"/>
              <w:bottom w:val="single" w:color="B7C6D9" w:sz="1"/>
              <w:right w:val="single" w:color="B7C6D9" w:sz="1"/>
            </w:tcBorders>
            <w:shd w:fill="EAF1F8" w:val="clear"/>
            <w:tcMar>
              <w:top w:type="dxa" w:w="80"/>
              <w:left w:type="dxa" w:w="100"/>
              <w:bottom w:type="dxa" w:w="80"/>
              <w:right w:type="dxa" w:w="100"/>
            </w:tcMar>
          </w:tcPr>
          <w:p>
            <w:pPr>
              <w:spacing w:after="0"/>
              <w:jc w:val="left"/>
            </w:pPr>
            <w:r>
              <w:rPr>
                <w:b w:val="false"/>
                <w:bCs w:val="false"/>
                <w:sz w:val="18"/>
                <w:szCs w:val="18"/>
              </w:rPr>
              <w:t xml:space="preserve">“AI,” “agents,” “consolidation” — substantive; “product management” appears via department solutions and projects/portfolios roadmap.</w:t>
            </w:r>
          </w:p>
        </w:tc>
        <w:tc>
          <w:tcPr>
            <w:tcW w:type="dxa" w:w="700"/>
            <w:tcBorders>
              <w:top w:val="single" w:color="B7C6D9" w:sz="1"/>
              <w:left w:val="single" w:color="B7C6D9" w:sz="1"/>
              <w:bottom w:val="single" w:color="B7C6D9" w:sz="1"/>
              <w:right w:val="single" w:color="B7C6D9" w:sz="1"/>
            </w:tcBorders>
            <w:shd w:fill="EAF1F8" w:val="clear"/>
            <w:tcMar>
              <w:top w:type="dxa" w:w="80"/>
              <w:left w:type="dxa" w:w="100"/>
              <w:bottom w:type="dxa" w:w="80"/>
              <w:right w:type="dxa" w:w="100"/>
            </w:tcMar>
            <w:vAlign w:val="center"/>
          </w:tcPr>
          <w:p>
            <w:pPr>
              <w:spacing w:after="0"/>
              <w:jc w:val="center"/>
            </w:pPr>
            <w:r>
              <w:rPr>
                <w:b/>
                <w:bCs/>
                <w:sz w:val="18"/>
                <w:szCs w:val="18"/>
              </w:rPr>
              <w:t xml:space="preserve">5</w:t>
            </w:r>
          </w:p>
        </w:tc>
        <w:tc>
          <w:tcPr>
            <w:tcW w:type="dxa" w:w="2250"/>
            <w:tcBorders>
              <w:top w:val="single" w:color="B7C6D9" w:sz="1"/>
              <w:left w:val="single" w:color="B7C6D9" w:sz="1"/>
              <w:bottom w:val="single" w:color="B7C6D9" w:sz="1"/>
              <w:right w:val="single" w:color="B7C6D9" w:sz="1"/>
            </w:tcBorders>
            <w:shd w:fill="EAF1F8" w:val="clear"/>
            <w:tcMar>
              <w:top w:type="dxa" w:w="80"/>
              <w:left w:type="dxa" w:w="100"/>
              <w:bottom w:type="dxa" w:w="80"/>
              <w:right w:type="dxa" w:w="100"/>
            </w:tcMar>
          </w:tcPr>
          <w:p>
            <w:pPr>
              <w:spacing w:after="0"/>
              <w:jc w:val="left"/>
            </w:pPr>
            <w:r>
              <w:rPr>
                <w:b w:val="false"/>
                <w:bCs w:val="false"/>
                <w:sz w:val="18"/>
                <w:szCs w:val="18"/>
              </w:rPr>
              <w:t xml:space="preserve">Competitive positioning + executive briefing: arm sales with a “generalist work OS vs. purpose-built product intelligence” narrative. Blog/LinkedIn on why product leaders need depth in synthesis and prioritization, not another horizontal agent layer.</w:t>
            </w:r>
          </w:p>
        </w:tc>
        <w:tc>
          <w:tcPr>
            <w:tcW w:type="dxa" w:w="2160"/>
            <w:tcBorders>
              <w:top w:val="single" w:color="B7C6D9" w:sz="1"/>
              <w:left w:val="single" w:color="B7C6D9" w:sz="1"/>
              <w:bottom w:val="single" w:color="B7C6D9" w:sz="1"/>
              <w:right w:val="single" w:color="B7C6D9" w:sz="1"/>
            </w:tcBorders>
            <w:shd w:fill="EAF1F8" w:val="clear"/>
            <w:tcMar>
              <w:top w:type="dxa" w:w="80"/>
              <w:left w:type="dxa" w:w="100"/>
              <w:bottom w:type="dxa" w:w="80"/>
              <w:right w:type="dxa" w:w="100"/>
            </w:tcMar>
          </w:tcPr>
          <w:p>
            <w:pPr>
              <w:spacing w:after="0"/>
              <w:jc w:val="left"/>
            </w:pPr>
            <w:r>
              <w:rPr>
                <w:b w:val="false"/>
                <w:bCs w:val="false"/>
                <w:sz w:val="18"/>
                <w:szCs w:val="18"/>
              </w:rPr>
              <w:t xml:space="preserve">monday's consolidation pitch is the biggest ICP-overlap threat. ProductPlan should counter by owning depth: AI trained specifically on product signal (surveys, Gong calls, CRM) rather than generic work agents.</w:t>
            </w:r>
          </w:p>
        </w:tc>
      </w:tr>
      <w:tr>
        <w:tc>
          <w:tcPr>
            <w:tcW w:type="dxa" w:w="2400"/>
            <w:tcBorders>
              <w:top w:val="single" w:color="B7C6D9" w:sz="1"/>
              <w:left w:val="single" w:color="B7C6D9" w:sz="1"/>
              <w:bottom w:val="single" w:color="B7C6D9" w:sz="1"/>
              <w:right w:val="single" w:color="B7C6D9" w:sz="1"/>
            </w:tcBorders>
            <w:shd w:fill="FFFFFF" w:val="clear"/>
            <w:tcMar>
              <w:top w:type="dxa" w:w="80"/>
              <w:left w:type="dxa" w:w="100"/>
              <w:bottom w:type="dxa" w:w="80"/>
              <w:right w:type="dxa" w:w="100"/>
            </w:tcMar>
          </w:tcPr>
          <w:p>
            <w:pPr>
              <w:spacing w:after="40"/>
            </w:pPr>
            <w:r>
              <w:rPr>
                <w:b/>
                <w:bCs/>
                <w:sz w:val="18"/>
                <w:szCs w:val="18"/>
              </w:rPr>
              <w:t xml:space="preserve">State of Product 2026: key findings from 1,000+ product teams</w:t>
            </w:r>
          </w:p>
          <w:p>
            <w:pPr>
              <w:spacing w:after="40"/>
            </w:pPr>
            <w:r>
              <w:rPr>
                <w:i/>
                <w:iCs/>
                <w:color w:val="555555"/>
                <w:sz w:val="16"/>
                <w:szCs w:val="16"/>
              </w:rPr>
              <w:t xml:space="preserve">Atlassian (Jira Product Discovery)</w:t>
            </w:r>
          </w:p>
          <w:p>
            <w:hyperlink w:history="1" r:id="rIdeth0pxiy39qsrxam0c2no">
              <w:r>
                <w:rPr>
                  <w:rStyle w:val="Hyperlink"/>
                  <w:sz w:val="16"/>
                  <w:szCs w:val="16"/>
                </w:rPr>
                <w:t xml:space="preserve">Link</w:t>
              </w:r>
            </w:hyperlink>
          </w:p>
        </w:tc>
        <w:tc>
          <w:tcPr>
            <w:tcW w:type="dxa" w:w="850"/>
            <w:tcBorders>
              <w:top w:val="single" w:color="B7C6D9" w:sz="1"/>
              <w:left w:val="single" w:color="B7C6D9" w:sz="1"/>
              <w:bottom w:val="single" w:color="B7C6D9" w:sz="1"/>
              <w:right w:val="single" w:color="B7C6D9" w:sz="1"/>
            </w:tcBorders>
            <w:shd w:fill="FFFFFF" w:val="clear"/>
            <w:tcMar>
              <w:top w:type="dxa" w:w="80"/>
              <w:left w:type="dxa" w:w="100"/>
              <w:bottom w:type="dxa" w:w="80"/>
              <w:right w:type="dxa" w:w="100"/>
            </w:tcMar>
          </w:tcPr>
          <w:p>
            <w:pPr>
              <w:spacing w:after="0"/>
              <w:jc w:val="left"/>
            </w:pPr>
            <w:r>
              <w:rPr>
                <w:b w:val="false"/>
                <w:bCs w:val="false"/>
                <w:sz w:val="18"/>
                <w:szCs w:val="18"/>
              </w:rPr>
              <w:t xml:space="preserve">2026 (active webinar push)</w:t>
            </w:r>
          </w:p>
        </w:tc>
        <w:tc>
          <w:tcPr>
            <w:tcW w:type="dxa" w:w="2850"/>
            <w:tcBorders>
              <w:top w:val="single" w:color="B7C6D9" w:sz="1"/>
              <w:left w:val="single" w:color="B7C6D9" w:sz="1"/>
              <w:bottom w:val="single" w:color="B7C6D9" w:sz="1"/>
              <w:right w:val="single" w:color="B7C6D9" w:sz="1"/>
            </w:tcBorders>
            <w:shd w:fill="FFFFFF" w:val="clear"/>
            <w:tcMar>
              <w:top w:type="dxa" w:w="80"/>
              <w:left w:type="dxa" w:w="100"/>
              <w:bottom w:type="dxa" w:w="80"/>
              <w:right w:type="dxa" w:w="100"/>
            </w:tcMar>
          </w:tcPr>
          <w:p>
            <w:pPr>
              <w:spacing w:after="0"/>
              <w:jc w:val="left"/>
            </w:pPr>
            <w:r>
              <w:rPr>
                <w:b w:val="false"/>
                <w:bCs w:val="false"/>
                <w:sz w:val="18"/>
                <w:szCs w:val="18"/>
              </w:rPr>
              <w:t xml:space="preserve">Atlassian's first annual report surveys 1,000+ PMs and finds 84% fear their product will fail — not from inability to ship, but uncertainty over what's worth shipping. Only 12% find profit-focused work rewarding, and teams reclaim up to 2 hours a day with AI. It frames the core problem as decision-making, not execution.</w:t>
            </w:r>
          </w:p>
        </w:tc>
        <w:tc>
          <w:tcPr>
            <w:tcW w:type="dxa" w:w="1750"/>
            <w:tcBorders>
              <w:top w:val="single" w:color="B7C6D9" w:sz="1"/>
              <w:left w:val="single" w:color="B7C6D9" w:sz="1"/>
              <w:bottom w:val="single" w:color="B7C6D9" w:sz="1"/>
              <w:right w:val="single" w:color="B7C6D9" w:sz="1"/>
            </w:tcBorders>
            <w:shd w:fill="FFFFFF" w:val="clear"/>
            <w:tcMar>
              <w:top w:type="dxa" w:w="80"/>
              <w:left w:type="dxa" w:w="100"/>
              <w:bottom w:type="dxa" w:w="80"/>
              <w:right w:type="dxa" w:w="100"/>
            </w:tcMar>
          </w:tcPr>
          <w:p>
            <w:pPr>
              <w:spacing w:after="0"/>
              <w:jc w:val="left"/>
            </w:pPr>
            <w:r>
              <w:rPr>
                <w:b w:val="false"/>
                <w:bCs w:val="false"/>
                <w:sz w:val="18"/>
                <w:szCs w:val="18"/>
              </w:rPr>
              <w:t xml:space="preserve">“product prioritization,” “AI,” “what to build” — the report's central thesis; directly on ProductPlan's positioning.</w:t>
            </w:r>
          </w:p>
        </w:tc>
        <w:tc>
          <w:tcPr>
            <w:tcW w:type="dxa" w:w="700"/>
            <w:tcBorders>
              <w:top w:val="single" w:color="B7C6D9" w:sz="1"/>
              <w:left w:val="single" w:color="B7C6D9" w:sz="1"/>
              <w:bottom w:val="single" w:color="B7C6D9" w:sz="1"/>
              <w:right w:val="single" w:color="B7C6D9" w:sz="1"/>
            </w:tcBorders>
            <w:shd w:fill="FFFFFF" w:val="clear"/>
            <w:tcMar>
              <w:top w:type="dxa" w:w="80"/>
              <w:left w:type="dxa" w:w="100"/>
              <w:bottom w:type="dxa" w:w="80"/>
              <w:right w:type="dxa" w:w="100"/>
            </w:tcMar>
            <w:vAlign w:val="center"/>
          </w:tcPr>
          <w:p>
            <w:pPr>
              <w:spacing w:after="0"/>
              <w:jc w:val="center"/>
            </w:pPr>
            <w:r>
              <w:rPr>
                <w:b/>
                <w:bCs/>
                <w:sz w:val="18"/>
                <w:szCs w:val="18"/>
              </w:rPr>
              <w:t xml:space="preserve">5</w:t>
            </w:r>
          </w:p>
        </w:tc>
        <w:tc>
          <w:tcPr>
            <w:tcW w:type="dxa" w:w="2250"/>
            <w:tcBorders>
              <w:top w:val="single" w:color="B7C6D9" w:sz="1"/>
              <w:left w:val="single" w:color="B7C6D9" w:sz="1"/>
              <w:bottom w:val="single" w:color="B7C6D9" w:sz="1"/>
              <w:right w:val="single" w:color="B7C6D9" w:sz="1"/>
            </w:tcBorders>
            <w:shd w:fill="FFFFFF" w:val="clear"/>
            <w:tcMar>
              <w:top w:type="dxa" w:w="80"/>
              <w:left w:type="dxa" w:w="100"/>
              <w:bottom w:type="dxa" w:w="80"/>
              <w:right w:type="dxa" w:w="100"/>
            </w:tcMar>
          </w:tcPr>
          <w:p>
            <w:pPr>
              <w:spacing w:after="0"/>
              <w:jc w:val="left"/>
            </w:pPr>
            <w:r>
              <w:rPr>
                <w:b w:val="false"/>
                <w:bCs w:val="false"/>
                <w:sz w:val="18"/>
                <w:szCs w:val="18"/>
              </w:rPr>
              <w:t xml:space="preserve">Thought leadership goldmine: cite the 84% stat in a LinkedIn carousel and a blog rebuttal. Webinar topic: “Why 84% of PMs fear failure — and how product intelligence fixes the decision gap.” Email nurture hook.</w:t>
            </w:r>
          </w:p>
        </w:tc>
        <w:tc>
          <w:tcPr>
            <w:tcW w:type="dxa" w:w="2160"/>
            <w:tcBorders>
              <w:top w:val="single" w:color="B7C6D9" w:sz="1"/>
              <w:left w:val="single" w:color="B7C6D9" w:sz="1"/>
              <w:bottom w:val="single" w:color="B7C6D9" w:sz="1"/>
              <w:right w:val="single" w:color="B7C6D9" w:sz="1"/>
            </w:tcBorders>
            <w:shd w:fill="FFFFFF" w:val="clear"/>
            <w:tcMar>
              <w:top w:type="dxa" w:w="80"/>
              <w:left w:type="dxa" w:w="100"/>
              <w:bottom w:type="dxa" w:w="80"/>
              <w:right w:type="dxa" w:w="100"/>
            </w:tcMar>
          </w:tcPr>
          <w:p>
            <w:pPr>
              <w:spacing w:after="0"/>
              <w:jc w:val="left"/>
            </w:pPr>
            <w:r>
              <w:rPr>
                <w:b w:val="false"/>
                <w:bCs w:val="false"/>
                <w:sz w:val="18"/>
                <w:szCs w:val="18"/>
              </w:rPr>
              <w:t xml:space="preserve">The report's framing (“the problem is knowing what's worth building”) is almost verbatim ProductPlan's Product Intelligence value prop — but published by a competitor. ProductPlan should claim this narrative before Atlassian fully owns it.</w:t>
            </w:r>
          </w:p>
        </w:tc>
      </w:tr>
      <w:tr>
        <w:tc>
          <w:tcPr>
            <w:tcW w:type="dxa" w:w="2400"/>
            <w:tcBorders>
              <w:top w:val="single" w:color="B7C6D9" w:sz="1"/>
              <w:left w:val="single" w:color="B7C6D9" w:sz="1"/>
              <w:bottom w:val="single" w:color="B7C6D9" w:sz="1"/>
              <w:right w:val="single" w:color="B7C6D9" w:sz="1"/>
            </w:tcBorders>
            <w:shd w:fill="EAF1F8" w:val="clear"/>
            <w:tcMar>
              <w:top w:type="dxa" w:w="80"/>
              <w:left w:type="dxa" w:w="100"/>
              <w:bottom w:type="dxa" w:w="80"/>
              <w:right w:type="dxa" w:w="100"/>
            </w:tcMar>
          </w:tcPr>
          <w:p>
            <w:pPr>
              <w:spacing w:after="40"/>
            </w:pPr>
            <w:r>
              <w:rPr>
                <w:b/>
                <w:bCs/>
                <w:sz w:val="18"/>
                <w:szCs w:val="18"/>
              </w:rPr>
              <w:t xml:space="preserve">Introducing the next generation of AI for product management</w:t>
            </w:r>
          </w:p>
          <w:p>
            <w:pPr>
              <w:spacing w:after="40"/>
            </w:pPr>
            <w:r>
              <w:rPr>
                <w:i/>
                <w:iCs/>
                <w:color w:val="555555"/>
                <w:sz w:val="16"/>
                <w:szCs w:val="16"/>
              </w:rPr>
              <w:t xml:space="preserve">Productboard</w:t>
            </w:r>
          </w:p>
          <w:p>
            <w:hyperlink w:history="1" r:id="rIdx-pxzjhgduoxronxy-va9">
              <w:r>
                <w:rPr>
                  <w:rStyle w:val="Hyperlink"/>
                  <w:sz w:val="16"/>
                  <w:szCs w:val="16"/>
                </w:rPr>
                <w:t xml:space="preserve">Link</w:t>
              </w:r>
            </w:hyperlink>
          </w:p>
        </w:tc>
        <w:tc>
          <w:tcPr>
            <w:tcW w:type="dxa" w:w="850"/>
            <w:tcBorders>
              <w:top w:val="single" w:color="B7C6D9" w:sz="1"/>
              <w:left w:val="single" w:color="B7C6D9" w:sz="1"/>
              <w:bottom w:val="single" w:color="B7C6D9" w:sz="1"/>
              <w:right w:val="single" w:color="B7C6D9" w:sz="1"/>
            </w:tcBorders>
            <w:shd w:fill="EAF1F8" w:val="clear"/>
            <w:tcMar>
              <w:top w:type="dxa" w:w="80"/>
              <w:left w:type="dxa" w:w="100"/>
              <w:bottom w:type="dxa" w:w="80"/>
              <w:right w:type="dxa" w:w="100"/>
            </w:tcMar>
          </w:tcPr>
          <w:p>
            <w:pPr>
              <w:spacing w:after="0"/>
              <w:jc w:val="left"/>
            </w:pPr>
            <w:r>
              <w:rPr>
                <w:b w:val="false"/>
                <w:bCs w:val="false"/>
                <w:sz w:val="18"/>
                <w:szCs w:val="18"/>
              </w:rPr>
              <w:t xml:space="preserve">2026 (Legacy deprecated Mar 18, 2026)</w:t>
            </w:r>
          </w:p>
        </w:tc>
        <w:tc>
          <w:tcPr>
            <w:tcW w:type="dxa" w:w="2850"/>
            <w:tcBorders>
              <w:top w:val="single" w:color="B7C6D9" w:sz="1"/>
              <w:left w:val="single" w:color="B7C6D9" w:sz="1"/>
              <w:bottom w:val="single" w:color="B7C6D9" w:sz="1"/>
              <w:right w:val="single" w:color="B7C6D9" w:sz="1"/>
            </w:tcBorders>
            <w:shd w:fill="EAF1F8" w:val="clear"/>
            <w:tcMar>
              <w:top w:type="dxa" w:w="80"/>
              <w:left w:type="dxa" w:w="100"/>
              <w:bottom w:type="dxa" w:w="80"/>
              <w:right w:type="dxa" w:w="100"/>
            </w:tcMar>
          </w:tcPr>
          <w:p>
            <w:pPr>
              <w:spacing w:after="0"/>
              <w:jc w:val="left"/>
            </w:pPr>
            <w:r>
              <w:rPr>
                <w:b w:val="false"/>
                <w:bCs w:val="false"/>
                <w:sz w:val="18"/>
                <w:szCs w:val="18"/>
              </w:rPr>
              <w:t xml:space="preserve">Productboard shipped a rebuilt “New experience” with next-gen board types (Timeline, Columns, Grid, Document), objective hierarchy and key results, plus a second generation of AI features. Customer-Centric APIs (Notes API) push feedback through the lifecycle. The legacy experience was fully deprecated in March 2026.</w:t>
            </w:r>
          </w:p>
        </w:tc>
        <w:tc>
          <w:tcPr>
            <w:tcW w:type="dxa" w:w="1750"/>
            <w:tcBorders>
              <w:top w:val="single" w:color="B7C6D9" w:sz="1"/>
              <w:left w:val="single" w:color="B7C6D9" w:sz="1"/>
              <w:bottom w:val="single" w:color="B7C6D9" w:sz="1"/>
              <w:right w:val="single" w:color="B7C6D9" w:sz="1"/>
            </w:tcBorders>
            <w:shd w:fill="EAF1F8" w:val="clear"/>
            <w:tcMar>
              <w:top w:type="dxa" w:w="80"/>
              <w:left w:type="dxa" w:w="100"/>
              <w:bottom w:type="dxa" w:w="80"/>
              <w:right w:type="dxa" w:w="100"/>
            </w:tcMar>
          </w:tcPr>
          <w:p>
            <w:pPr>
              <w:spacing w:after="0"/>
              <w:jc w:val="left"/>
            </w:pPr>
            <w:r>
              <w:rPr>
                <w:b w:val="false"/>
                <w:bCs w:val="false"/>
                <w:sz w:val="18"/>
                <w:szCs w:val="18"/>
              </w:rPr>
              <w:t xml:space="preserve">“customer-centric,” “AI,” “roadmap” — substantive; closest direct competitor's platform overhaul.</w:t>
            </w:r>
          </w:p>
        </w:tc>
        <w:tc>
          <w:tcPr>
            <w:tcW w:type="dxa" w:w="700"/>
            <w:tcBorders>
              <w:top w:val="single" w:color="B7C6D9" w:sz="1"/>
              <w:left w:val="single" w:color="B7C6D9" w:sz="1"/>
              <w:bottom w:val="single" w:color="B7C6D9" w:sz="1"/>
              <w:right w:val="single" w:color="B7C6D9" w:sz="1"/>
            </w:tcBorders>
            <w:shd w:fill="EAF1F8" w:val="clear"/>
            <w:tcMar>
              <w:top w:type="dxa" w:w="80"/>
              <w:left w:type="dxa" w:w="100"/>
              <w:bottom w:type="dxa" w:w="80"/>
              <w:right w:type="dxa" w:w="100"/>
            </w:tcMar>
            <w:vAlign w:val="center"/>
          </w:tcPr>
          <w:p>
            <w:pPr>
              <w:spacing w:after="0"/>
              <w:jc w:val="center"/>
            </w:pPr>
            <w:r>
              <w:rPr>
                <w:b/>
                <w:bCs/>
                <w:sz w:val="18"/>
                <w:szCs w:val="18"/>
              </w:rPr>
              <w:t xml:space="preserve">4</w:t>
            </w:r>
          </w:p>
        </w:tc>
        <w:tc>
          <w:tcPr>
            <w:tcW w:type="dxa" w:w="2250"/>
            <w:tcBorders>
              <w:top w:val="single" w:color="B7C6D9" w:sz="1"/>
              <w:left w:val="single" w:color="B7C6D9" w:sz="1"/>
              <w:bottom w:val="single" w:color="B7C6D9" w:sz="1"/>
              <w:right w:val="single" w:color="B7C6D9" w:sz="1"/>
            </w:tcBorders>
            <w:shd w:fill="EAF1F8" w:val="clear"/>
            <w:tcMar>
              <w:top w:type="dxa" w:w="80"/>
              <w:left w:type="dxa" w:w="100"/>
              <w:bottom w:type="dxa" w:w="80"/>
              <w:right w:type="dxa" w:w="100"/>
            </w:tcMar>
          </w:tcPr>
          <w:p>
            <w:pPr>
              <w:spacing w:after="0"/>
              <w:jc w:val="left"/>
            </w:pPr>
            <w:r>
              <w:rPr>
                <w:b w:val="false"/>
                <w:bCs w:val="false"/>
                <w:sz w:val="18"/>
                <w:szCs w:val="18"/>
              </w:rPr>
              <w:t xml:space="preserve">Battlecard refresh: note Productboard's AI is still maturing (gen-2) vs. ProductPlan's native Winware synthesis. Comparison blog/SEO page targeting “Productboard alternative.”</w:t>
            </w:r>
          </w:p>
        </w:tc>
        <w:tc>
          <w:tcPr>
            <w:tcW w:type="dxa" w:w="2160"/>
            <w:tcBorders>
              <w:top w:val="single" w:color="B7C6D9" w:sz="1"/>
              <w:left w:val="single" w:color="B7C6D9" w:sz="1"/>
              <w:bottom w:val="single" w:color="B7C6D9" w:sz="1"/>
              <w:right w:val="single" w:color="B7C6D9" w:sz="1"/>
            </w:tcBorders>
            <w:shd w:fill="EAF1F8" w:val="clear"/>
            <w:tcMar>
              <w:top w:type="dxa" w:w="80"/>
              <w:left w:type="dxa" w:w="100"/>
              <w:bottom w:type="dxa" w:w="80"/>
              <w:right w:type="dxa" w:w="100"/>
            </w:tcMar>
          </w:tcPr>
          <w:p>
            <w:pPr>
              <w:spacing w:after="0"/>
              <w:jc w:val="left"/>
            </w:pPr>
            <w:r>
              <w:rPr>
                <w:b w:val="false"/>
                <w:bCs w:val="false"/>
                <w:sz w:val="18"/>
                <w:szCs w:val="18"/>
              </w:rPr>
              <w:t xml:space="preserve">Productboard is the closest direct competitor and is leaning into customer-centric AI — the same lane. ProductPlan differentiates on synthesis across Gong calls + CRM + surveys, not just product feedback notes.</w:t>
            </w:r>
          </w:p>
        </w:tc>
      </w:tr>
      <w:tr>
        <w:tc>
          <w:tcPr>
            <w:tcW w:type="dxa" w:w="2400"/>
            <w:tcBorders>
              <w:top w:val="single" w:color="B7C6D9" w:sz="1"/>
              <w:left w:val="single" w:color="B7C6D9" w:sz="1"/>
              <w:bottom w:val="single" w:color="B7C6D9" w:sz="1"/>
              <w:right w:val="single" w:color="B7C6D9" w:sz="1"/>
            </w:tcBorders>
            <w:shd w:fill="FFFFFF" w:val="clear"/>
            <w:tcMar>
              <w:top w:type="dxa" w:w="80"/>
              <w:left w:type="dxa" w:w="100"/>
              <w:bottom w:type="dxa" w:w="80"/>
              <w:right w:type="dxa" w:w="100"/>
            </w:tcMar>
          </w:tcPr>
          <w:p>
            <w:pPr>
              <w:spacing w:after="40"/>
            </w:pPr>
            <w:r>
              <w:rPr>
                <w:b/>
                <w:bCs/>
                <w:sz w:val="18"/>
                <w:szCs w:val="18"/>
              </w:rPr>
              <w:t xml:space="preserve">The 2026 AI product strategy guide: plan, budget, and build without buying the hype</w:t>
            </w:r>
          </w:p>
          <w:p>
            <w:pPr>
              <w:spacing w:after="40"/>
            </w:pPr>
            <w:r>
              <w:rPr>
                <w:i/>
                <w:iCs/>
                <w:color w:val="555555"/>
                <w:sz w:val="16"/>
                <w:szCs w:val="16"/>
              </w:rPr>
              <w:t xml:space="preserve">Mind the Product</w:t>
            </w:r>
          </w:p>
          <w:p>
            <w:hyperlink w:history="1" r:id="rIdrfazgjhlmrpssl4hmk0um">
              <w:r>
                <w:rPr>
                  <w:rStyle w:val="Hyperlink"/>
                  <w:sz w:val="16"/>
                  <w:szCs w:val="16"/>
                </w:rPr>
                <w:t xml:space="preserve">Link</w:t>
              </w:r>
            </w:hyperlink>
          </w:p>
        </w:tc>
        <w:tc>
          <w:tcPr>
            <w:tcW w:type="dxa" w:w="850"/>
            <w:tcBorders>
              <w:top w:val="single" w:color="B7C6D9" w:sz="1"/>
              <w:left w:val="single" w:color="B7C6D9" w:sz="1"/>
              <w:bottom w:val="single" w:color="B7C6D9" w:sz="1"/>
              <w:right w:val="single" w:color="B7C6D9" w:sz="1"/>
            </w:tcBorders>
            <w:shd w:fill="FFFFFF" w:val="clear"/>
            <w:tcMar>
              <w:top w:type="dxa" w:w="80"/>
              <w:left w:type="dxa" w:w="100"/>
              <w:bottom w:type="dxa" w:w="80"/>
              <w:right w:type="dxa" w:w="100"/>
            </w:tcMar>
          </w:tcPr>
          <w:p>
            <w:pPr>
              <w:spacing w:after="0"/>
              <w:jc w:val="left"/>
            </w:pPr>
            <w:r>
              <w:rPr>
                <w:b w:val="false"/>
                <w:bCs w:val="false"/>
                <w:sz w:val="18"/>
                <w:szCs w:val="18"/>
              </w:rPr>
              <w:t xml:space="preserve">2026</w:t>
            </w:r>
          </w:p>
        </w:tc>
        <w:tc>
          <w:tcPr>
            <w:tcW w:type="dxa" w:w="2850"/>
            <w:tcBorders>
              <w:top w:val="single" w:color="B7C6D9" w:sz="1"/>
              <w:left w:val="single" w:color="B7C6D9" w:sz="1"/>
              <w:bottom w:val="single" w:color="B7C6D9" w:sz="1"/>
              <w:right w:val="single" w:color="B7C6D9" w:sz="1"/>
            </w:tcBorders>
            <w:shd w:fill="FFFFFF" w:val="clear"/>
            <w:tcMar>
              <w:top w:type="dxa" w:w="80"/>
              <w:left w:type="dxa" w:w="100"/>
              <w:bottom w:type="dxa" w:w="80"/>
              <w:right w:type="dxa" w:w="100"/>
            </w:tcMar>
          </w:tcPr>
          <w:p>
            <w:pPr>
              <w:spacing w:after="0"/>
              <w:jc w:val="left"/>
            </w:pPr>
            <w:r>
              <w:rPr>
                <w:b w:val="false"/>
                <w:bCs w:val="false"/>
                <w:sz w:val="18"/>
                <w:szCs w:val="18"/>
              </w:rPr>
              <w:t xml:space="preserve">A practitioner guide arguing teams should treat AI as a powerful but expensive raw material managed with infrastructure-level discipline, not a magic trick. It pushes for disciplined budgeting and clear strategy over hype-driven adoption. The piece reflects growing buyer skepticism toward undifferentiated AI claims.</w:t>
            </w:r>
          </w:p>
        </w:tc>
        <w:tc>
          <w:tcPr>
            <w:tcW w:type="dxa" w:w="1750"/>
            <w:tcBorders>
              <w:top w:val="single" w:color="B7C6D9" w:sz="1"/>
              <w:left w:val="single" w:color="B7C6D9" w:sz="1"/>
              <w:bottom w:val="single" w:color="B7C6D9" w:sz="1"/>
              <w:right w:val="single" w:color="B7C6D9" w:sz="1"/>
            </w:tcBorders>
            <w:shd w:fill="FFFFFF" w:val="clear"/>
            <w:tcMar>
              <w:top w:type="dxa" w:w="80"/>
              <w:left w:type="dxa" w:w="100"/>
              <w:bottom w:type="dxa" w:w="80"/>
              <w:right w:type="dxa" w:w="100"/>
            </w:tcMar>
          </w:tcPr>
          <w:p>
            <w:pPr>
              <w:spacing w:after="0"/>
              <w:jc w:val="left"/>
            </w:pPr>
            <w:r>
              <w:rPr>
                <w:b w:val="false"/>
                <w:bCs w:val="false"/>
                <w:sz w:val="18"/>
                <w:szCs w:val="18"/>
              </w:rPr>
              <w:t xml:space="preserve">“AI product strategy,” “AI product management” — central thesis of the article.</w:t>
            </w:r>
          </w:p>
        </w:tc>
        <w:tc>
          <w:tcPr>
            <w:tcW w:type="dxa" w:w="700"/>
            <w:tcBorders>
              <w:top w:val="single" w:color="B7C6D9" w:sz="1"/>
              <w:left w:val="single" w:color="B7C6D9" w:sz="1"/>
              <w:bottom w:val="single" w:color="B7C6D9" w:sz="1"/>
              <w:right w:val="single" w:color="B7C6D9" w:sz="1"/>
            </w:tcBorders>
            <w:shd w:fill="FFFFFF" w:val="clear"/>
            <w:tcMar>
              <w:top w:type="dxa" w:w="80"/>
              <w:left w:type="dxa" w:w="100"/>
              <w:bottom w:type="dxa" w:w="80"/>
              <w:right w:type="dxa" w:w="100"/>
            </w:tcMar>
            <w:vAlign w:val="center"/>
          </w:tcPr>
          <w:p>
            <w:pPr>
              <w:spacing w:after="0"/>
              <w:jc w:val="center"/>
            </w:pPr>
            <w:r>
              <w:rPr>
                <w:b/>
                <w:bCs/>
                <w:sz w:val="18"/>
                <w:szCs w:val="18"/>
              </w:rPr>
              <w:t xml:space="preserve">4</w:t>
            </w:r>
          </w:p>
        </w:tc>
        <w:tc>
          <w:tcPr>
            <w:tcW w:type="dxa" w:w="2250"/>
            <w:tcBorders>
              <w:top w:val="single" w:color="B7C6D9" w:sz="1"/>
              <w:left w:val="single" w:color="B7C6D9" w:sz="1"/>
              <w:bottom w:val="single" w:color="B7C6D9" w:sz="1"/>
              <w:right w:val="single" w:color="B7C6D9" w:sz="1"/>
            </w:tcBorders>
            <w:shd w:fill="FFFFFF" w:val="clear"/>
            <w:tcMar>
              <w:top w:type="dxa" w:w="80"/>
              <w:left w:type="dxa" w:w="100"/>
              <w:bottom w:type="dxa" w:w="80"/>
              <w:right w:type="dxa" w:w="100"/>
            </w:tcMar>
          </w:tcPr>
          <w:p>
            <w:pPr>
              <w:spacing w:after="0"/>
              <w:jc w:val="left"/>
            </w:pPr>
            <w:r>
              <w:rPr>
                <w:b w:val="false"/>
                <w:bCs w:val="false"/>
                <w:sz w:val="18"/>
                <w:szCs w:val="18"/>
              </w:rPr>
              <w:t xml:space="preserve">Awareness content + LinkedIn: “AI without discipline is just expensive guessing” angle. Positions ProductPlan as the disciplined, evidence-based choice. Email nurture for skeptical buyers.</w:t>
            </w:r>
          </w:p>
        </w:tc>
        <w:tc>
          <w:tcPr>
            <w:tcW w:type="dxa" w:w="2160"/>
            <w:tcBorders>
              <w:top w:val="single" w:color="B7C6D9" w:sz="1"/>
              <w:left w:val="single" w:color="B7C6D9" w:sz="1"/>
              <w:bottom w:val="single" w:color="B7C6D9" w:sz="1"/>
              <w:right w:val="single" w:color="B7C6D9" w:sz="1"/>
            </w:tcBorders>
            <w:shd w:fill="FFFFFF" w:val="clear"/>
            <w:tcMar>
              <w:top w:type="dxa" w:w="80"/>
              <w:left w:type="dxa" w:w="100"/>
              <w:bottom w:type="dxa" w:w="80"/>
              <w:right w:type="dxa" w:w="100"/>
            </w:tcMar>
          </w:tcPr>
          <w:p>
            <w:pPr>
              <w:spacing w:after="0"/>
              <w:jc w:val="left"/>
            </w:pPr>
            <w:r>
              <w:rPr>
                <w:b w:val="false"/>
                <w:bCs w:val="false"/>
                <w:sz w:val="18"/>
                <w:szCs w:val="18"/>
              </w:rPr>
              <w:t xml:space="preserve">Buyer skepticism toward AI hype is an opening: ProductPlan can position its AI as grounded in real customer signal with traceable evidence, not generic copilots — directly answering the “no hype” demand.</w:t>
            </w:r>
          </w:p>
        </w:tc>
      </w:tr>
      <w:tr>
        <w:tc>
          <w:tcPr>
            <w:tcW w:type="dxa" w:w="2400"/>
            <w:tcBorders>
              <w:top w:val="single" w:color="B7C6D9" w:sz="1"/>
              <w:left w:val="single" w:color="B7C6D9" w:sz="1"/>
              <w:bottom w:val="single" w:color="B7C6D9" w:sz="1"/>
              <w:right w:val="single" w:color="B7C6D9" w:sz="1"/>
            </w:tcBorders>
            <w:shd w:fill="EAF1F8" w:val="clear"/>
            <w:tcMar>
              <w:top w:type="dxa" w:w="80"/>
              <w:left w:type="dxa" w:w="100"/>
              <w:bottom w:type="dxa" w:w="80"/>
              <w:right w:type="dxa" w:w="100"/>
            </w:tcMar>
          </w:tcPr>
          <w:p>
            <w:pPr>
              <w:spacing w:after="40"/>
            </w:pPr>
            <w:r>
              <w:rPr>
                <w:b/>
                <w:bCs/>
                <w:sz w:val="18"/>
                <w:szCs w:val="18"/>
              </w:rPr>
              <w:t xml:space="preserve">AI Product Management in 2026: The AI-Native Product Loop</w:t>
            </w:r>
          </w:p>
          <w:p>
            <w:pPr>
              <w:spacing w:after="40"/>
            </w:pPr>
            <w:r>
              <w:rPr>
                <w:i/>
                <w:iCs/>
                <w:color w:val="555555"/>
                <w:sz w:val="16"/>
                <w:szCs w:val="16"/>
              </w:rPr>
              <w:t xml:space="preserve">Product Leadership</w:t>
            </w:r>
          </w:p>
          <w:p>
            <w:hyperlink w:history="1" r:id="rIdxrxue6wrrptv_xecx9lqe">
              <w:r>
                <w:rPr>
                  <w:rStyle w:val="Hyperlink"/>
                  <w:sz w:val="16"/>
                  <w:szCs w:val="16"/>
                </w:rPr>
                <w:t xml:space="preserve">Link</w:t>
              </w:r>
            </w:hyperlink>
          </w:p>
        </w:tc>
        <w:tc>
          <w:tcPr>
            <w:tcW w:type="dxa" w:w="850"/>
            <w:tcBorders>
              <w:top w:val="single" w:color="B7C6D9" w:sz="1"/>
              <w:left w:val="single" w:color="B7C6D9" w:sz="1"/>
              <w:bottom w:val="single" w:color="B7C6D9" w:sz="1"/>
              <w:right w:val="single" w:color="B7C6D9" w:sz="1"/>
            </w:tcBorders>
            <w:shd w:fill="EAF1F8" w:val="clear"/>
            <w:tcMar>
              <w:top w:type="dxa" w:w="80"/>
              <w:left w:type="dxa" w:w="100"/>
              <w:bottom w:type="dxa" w:w="80"/>
              <w:right w:type="dxa" w:w="100"/>
            </w:tcMar>
          </w:tcPr>
          <w:p>
            <w:pPr>
              <w:spacing w:after="0"/>
              <w:jc w:val="left"/>
            </w:pPr>
            <w:r>
              <w:rPr>
                <w:b w:val="false"/>
                <w:bCs w:val="false"/>
                <w:sz w:val="18"/>
                <w:szCs w:val="18"/>
              </w:rPr>
              <w:t xml:space="preserve">2026</w:t>
            </w:r>
          </w:p>
        </w:tc>
        <w:tc>
          <w:tcPr>
            <w:tcW w:type="dxa" w:w="2850"/>
            <w:tcBorders>
              <w:top w:val="single" w:color="B7C6D9" w:sz="1"/>
              <w:left w:val="single" w:color="B7C6D9" w:sz="1"/>
              <w:bottom w:val="single" w:color="B7C6D9" w:sz="1"/>
              <w:right w:val="single" w:color="B7C6D9" w:sz="1"/>
            </w:tcBorders>
            <w:shd w:fill="EAF1F8" w:val="clear"/>
            <w:tcMar>
              <w:top w:type="dxa" w:w="80"/>
              <w:left w:type="dxa" w:w="100"/>
              <w:bottom w:type="dxa" w:w="80"/>
              <w:right w:type="dxa" w:w="100"/>
            </w:tcMar>
          </w:tcPr>
          <w:p>
            <w:pPr>
              <w:spacing w:after="0"/>
              <w:jc w:val="left"/>
            </w:pPr>
            <w:r>
              <w:rPr>
                <w:b w:val="false"/>
                <w:bCs w:val="false"/>
                <w:sz w:val="18"/>
                <w:szCs w:val="18"/>
              </w:rPr>
              <w:t xml:space="preserve">Argues product management is shifting from a staged lifecycle to a continuously running decision system fed by real-time signals from analytics, support, sales and behavior. Static roadmaps struggle as conditions change continuously. The best PMs use AI to make faster, more data-driven decisions rather than being replaced by it.</w:t>
            </w:r>
          </w:p>
        </w:tc>
        <w:tc>
          <w:tcPr>
            <w:tcW w:type="dxa" w:w="1750"/>
            <w:tcBorders>
              <w:top w:val="single" w:color="B7C6D9" w:sz="1"/>
              <w:left w:val="single" w:color="B7C6D9" w:sz="1"/>
              <w:bottom w:val="single" w:color="B7C6D9" w:sz="1"/>
              <w:right w:val="single" w:color="B7C6D9" w:sz="1"/>
            </w:tcBorders>
            <w:shd w:fill="EAF1F8" w:val="clear"/>
            <w:tcMar>
              <w:top w:type="dxa" w:w="80"/>
              <w:left w:type="dxa" w:w="100"/>
              <w:bottom w:type="dxa" w:w="80"/>
              <w:right w:type="dxa" w:w="100"/>
            </w:tcMar>
          </w:tcPr>
          <w:p>
            <w:pPr>
              <w:spacing w:after="0"/>
              <w:jc w:val="left"/>
            </w:pPr>
            <w:r>
              <w:rPr>
                <w:b w:val="false"/>
                <w:bCs w:val="false"/>
                <w:sz w:val="18"/>
                <w:szCs w:val="18"/>
              </w:rPr>
              <w:t xml:space="preserve">“continuous decision system,” “prioritization,” “product intelligence” — substantive and on-message.</w:t>
            </w:r>
          </w:p>
        </w:tc>
        <w:tc>
          <w:tcPr>
            <w:tcW w:type="dxa" w:w="700"/>
            <w:tcBorders>
              <w:top w:val="single" w:color="B7C6D9" w:sz="1"/>
              <w:left w:val="single" w:color="B7C6D9" w:sz="1"/>
              <w:bottom w:val="single" w:color="B7C6D9" w:sz="1"/>
              <w:right w:val="single" w:color="B7C6D9" w:sz="1"/>
            </w:tcBorders>
            <w:shd w:fill="EAF1F8" w:val="clear"/>
            <w:tcMar>
              <w:top w:type="dxa" w:w="80"/>
              <w:left w:type="dxa" w:w="100"/>
              <w:bottom w:type="dxa" w:w="80"/>
              <w:right w:type="dxa" w:w="100"/>
            </w:tcMar>
            <w:vAlign w:val="center"/>
          </w:tcPr>
          <w:p>
            <w:pPr>
              <w:spacing w:after="0"/>
              <w:jc w:val="center"/>
            </w:pPr>
            <w:r>
              <w:rPr>
                <w:b/>
                <w:bCs/>
                <w:sz w:val="18"/>
                <w:szCs w:val="18"/>
              </w:rPr>
              <w:t xml:space="preserve">4</w:t>
            </w:r>
          </w:p>
        </w:tc>
        <w:tc>
          <w:tcPr>
            <w:tcW w:type="dxa" w:w="2250"/>
            <w:tcBorders>
              <w:top w:val="single" w:color="B7C6D9" w:sz="1"/>
              <w:left w:val="single" w:color="B7C6D9" w:sz="1"/>
              <w:bottom w:val="single" w:color="B7C6D9" w:sz="1"/>
              <w:right w:val="single" w:color="B7C6D9" w:sz="1"/>
            </w:tcBorders>
            <w:shd w:fill="EAF1F8" w:val="clear"/>
            <w:tcMar>
              <w:top w:type="dxa" w:w="80"/>
              <w:left w:type="dxa" w:w="100"/>
              <w:bottom w:type="dxa" w:w="80"/>
              <w:right w:type="dxa" w:w="100"/>
            </w:tcMar>
          </w:tcPr>
          <w:p>
            <w:pPr>
              <w:spacing w:after="0"/>
              <w:jc w:val="left"/>
            </w:pPr>
            <w:r>
              <w:rPr>
                <w:b w:val="false"/>
                <w:bCs w:val="false"/>
                <w:sz w:val="18"/>
                <w:szCs w:val="18"/>
              </w:rPr>
              <w:t xml:space="preserve">Blog/SEO pillar: “From static roadmaps to a living product intelligence loop.” Webinar co-marketing angle. Sales messaging on continuous re-prioritization.</w:t>
            </w:r>
          </w:p>
        </w:tc>
        <w:tc>
          <w:tcPr>
            <w:tcW w:type="dxa" w:w="2160"/>
            <w:tcBorders>
              <w:top w:val="single" w:color="B7C6D9" w:sz="1"/>
              <w:left w:val="single" w:color="B7C6D9" w:sz="1"/>
              <w:bottom w:val="single" w:color="B7C6D9" w:sz="1"/>
              <w:right w:val="single" w:color="B7C6D9" w:sz="1"/>
            </w:tcBorders>
            <w:shd w:fill="EAF1F8" w:val="clear"/>
            <w:tcMar>
              <w:top w:type="dxa" w:w="80"/>
              <w:left w:type="dxa" w:w="100"/>
              <w:bottom w:type="dxa" w:w="80"/>
              <w:right w:type="dxa" w:w="100"/>
            </w:tcMar>
          </w:tcPr>
          <w:p>
            <w:pPr>
              <w:spacing w:after="0"/>
              <w:jc w:val="left"/>
            </w:pPr>
            <w:r>
              <w:rPr>
                <w:b w:val="false"/>
                <w:bCs w:val="false"/>
                <w:sz w:val="18"/>
                <w:szCs w:val="18"/>
              </w:rPr>
              <w:t xml:space="preserve">The “continuously running decision system” framing IS the Product Intelligence Platform pitch. ProductPlan should own this language across SEO and thought leadership before competitors do.</w:t>
            </w:r>
          </w:p>
        </w:tc>
      </w:tr>
      <w:tr>
        <w:tc>
          <w:tcPr>
            <w:tcW w:type="dxa" w:w="2400"/>
            <w:tcBorders>
              <w:top w:val="single" w:color="B7C6D9" w:sz="1"/>
              <w:left w:val="single" w:color="B7C6D9" w:sz="1"/>
              <w:bottom w:val="single" w:color="B7C6D9" w:sz="1"/>
              <w:right w:val="single" w:color="B7C6D9" w:sz="1"/>
            </w:tcBorders>
            <w:shd w:fill="FFFFFF" w:val="clear"/>
            <w:tcMar>
              <w:top w:type="dxa" w:w="80"/>
              <w:left w:type="dxa" w:w="100"/>
              <w:bottom w:type="dxa" w:w="80"/>
              <w:right w:type="dxa" w:w="100"/>
            </w:tcMar>
          </w:tcPr>
          <w:p>
            <w:pPr>
              <w:spacing w:after="40"/>
            </w:pPr>
            <w:r>
              <w:rPr>
                <w:b/>
                <w:bCs/>
                <w:sz w:val="18"/>
                <w:szCs w:val="18"/>
              </w:rPr>
              <w:t xml:space="preserve">Best AI customer-insight platforms 2026: synthesis quality is the new advantage</w:t>
            </w:r>
          </w:p>
          <w:p>
            <w:pPr>
              <w:spacing w:after="40"/>
            </w:pPr>
            <w:r>
              <w:rPr>
                <w:i/>
                <w:iCs/>
                <w:color w:val="555555"/>
                <w:sz w:val="16"/>
                <w:szCs w:val="16"/>
              </w:rPr>
              <w:t xml:space="preserve">Perspective AI / Crescendo (category round-ups)</w:t>
            </w:r>
          </w:p>
          <w:p>
            <w:hyperlink w:history="1" r:id="rIdad8l5l755p8gabwt4szca">
              <w:r>
                <w:rPr>
                  <w:rStyle w:val="Hyperlink"/>
                  <w:sz w:val="16"/>
                  <w:szCs w:val="16"/>
                </w:rPr>
                <w:t xml:space="preserve">Link</w:t>
              </w:r>
            </w:hyperlink>
          </w:p>
        </w:tc>
        <w:tc>
          <w:tcPr>
            <w:tcW w:type="dxa" w:w="850"/>
            <w:tcBorders>
              <w:top w:val="single" w:color="B7C6D9" w:sz="1"/>
              <w:left w:val="single" w:color="B7C6D9" w:sz="1"/>
              <w:bottom w:val="single" w:color="B7C6D9" w:sz="1"/>
              <w:right w:val="single" w:color="B7C6D9" w:sz="1"/>
            </w:tcBorders>
            <w:shd w:fill="FFFFFF" w:val="clear"/>
            <w:tcMar>
              <w:top w:type="dxa" w:w="80"/>
              <w:left w:type="dxa" w:w="100"/>
              <w:bottom w:type="dxa" w:w="80"/>
              <w:right w:type="dxa" w:w="100"/>
            </w:tcMar>
          </w:tcPr>
          <w:p>
            <w:pPr>
              <w:spacing w:after="0"/>
              <w:jc w:val="left"/>
            </w:pPr>
            <w:r>
              <w:rPr>
                <w:b w:val="false"/>
                <w:bCs w:val="false"/>
                <w:sz w:val="18"/>
                <w:szCs w:val="18"/>
              </w:rPr>
              <w:t xml:space="preserve">2026</w:t>
            </w:r>
          </w:p>
        </w:tc>
        <w:tc>
          <w:tcPr>
            <w:tcW w:type="dxa" w:w="2850"/>
            <w:tcBorders>
              <w:top w:val="single" w:color="B7C6D9" w:sz="1"/>
              <w:left w:val="single" w:color="B7C6D9" w:sz="1"/>
              <w:bottom w:val="single" w:color="B7C6D9" w:sz="1"/>
              <w:right w:val="single" w:color="B7C6D9" w:sz="1"/>
            </w:tcBorders>
            <w:shd w:fill="FFFFFF" w:val="clear"/>
            <w:tcMar>
              <w:top w:type="dxa" w:w="80"/>
              <w:left w:type="dxa" w:w="100"/>
              <w:bottom w:type="dxa" w:w="80"/>
              <w:right w:type="dxa" w:w="100"/>
            </w:tcMar>
          </w:tcPr>
          <w:p>
            <w:pPr>
              <w:spacing w:after="0"/>
              <w:jc w:val="left"/>
            </w:pPr>
            <w:r>
              <w:rPr>
                <w:b w:val="false"/>
                <w:bCs w:val="false"/>
                <w:sz w:val="18"/>
                <w:szCs w:val="18"/>
              </w:rPr>
              <w:t xml:space="preserve">Multiple 2026 buyer guides converge on the same point: the new competitive advantage is synthesis quality — turning hundreds of conversations into credible insight in hours, with every claim traceable to a source quote. The customer-insights category is consolidating on AI-native platforms. PMs reportedly spend ~30% of time on data gathering that AI now compresses.</w:t>
            </w:r>
          </w:p>
        </w:tc>
        <w:tc>
          <w:tcPr>
            <w:tcW w:type="dxa" w:w="1750"/>
            <w:tcBorders>
              <w:top w:val="single" w:color="B7C6D9" w:sz="1"/>
              <w:left w:val="single" w:color="B7C6D9" w:sz="1"/>
              <w:bottom w:val="single" w:color="B7C6D9" w:sz="1"/>
              <w:right w:val="single" w:color="B7C6D9" w:sz="1"/>
            </w:tcBorders>
            <w:shd w:fill="FFFFFF" w:val="clear"/>
            <w:tcMar>
              <w:top w:type="dxa" w:w="80"/>
              <w:left w:type="dxa" w:w="100"/>
              <w:bottom w:type="dxa" w:w="80"/>
              <w:right w:type="dxa" w:w="100"/>
            </w:tcMar>
          </w:tcPr>
          <w:p>
            <w:pPr>
              <w:spacing w:after="0"/>
              <w:jc w:val="left"/>
            </w:pPr>
            <w:r>
              <w:rPr>
                <w:b w:val="false"/>
                <w:bCs w:val="false"/>
                <w:sz w:val="18"/>
                <w:szCs w:val="18"/>
              </w:rPr>
              <w:t xml:space="preserve">“customer insights,” “AI synthesis,” “traceable to source” — repeated across several pieces (emerging trend).</w:t>
            </w:r>
          </w:p>
        </w:tc>
        <w:tc>
          <w:tcPr>
            <w:tcW w:type="dxa" w:w="700"/>
            <w:tcBorders>
              <w:top w:val="single" w:color="B7C6D9" w:sz="1"/>
              <w:left w:val="single" w:color="B7C6D9" w:sz="1"/>
              <w:bottom w:val="single" w:color="B7C6D9" w:sz="1"/>
              <w:right w:val="single" w:color="B7C6D9" w:sz="1"/>
            </w:tcBorders>
            <w:shd w:fill="FFFFFF" w:val="clear"/>
            <w:tcMar>
              <w:top w:type="dxa" w:w="80"/>
              <w:left w:type="dxa" w:w="100"/>
              <w:bottom w:type="dxa" w:w="80"/>
              <w:right w:type="dxa" w:w="100"/>
            </w:tcMar>
            <w:vAlign w:val="center"/>
          </w:tcPr>
          <w:p>
            <w:pPr>
              <w:spacing w:after="0"/>
              <w:jc w:val="center"/>
            </w:pPr>
            <w:r>
              <w:rPr>
                <w:b/>
                <w:bCs/>
                <w:sz w:val="18"/>
                <w:szCs w:val="18"/>
              </w:rPr>
              <w:t xml:space="preserve">4</w:t>
            </w:r>
          </w:p>
        </w:tc>
        <w:tc>
          <w:tcPr>
            <w:tcW w:type="dxa" w:w="2250"/>
            <w:tcBorders>
              <w:top w:val="single" w:color="B7C6D9" w:sz="1"/>
              <w:left w:val="single" w:color="B7C6D9" w:sz="1"/>
              <w:bottom w:val="single" w:color="B7C6D9" w:sz="1"/>
              <w:right w:val="single" w:color="B7C6D9" w:sz="1"/>
            </w:tcBorders>
            <w:shd w:fill="FFFFFF" w:val="clear"/>
            <w:tcMar>
              <w:top w:type="dxa" w:w="80"/>
              <w:left w:type="dxa" w:w="100"/>
              <w:bottom w:type="dxa" w:w="80"/>
              <w:right w:type="dxa" w:w="100"/>
            </w:tcMar>
          </w:tcPr>
          <w:p>
            <w:pPr>
              <w:spacing w:after="0"/>
              <w:jc w:val="left"/>
            </w:pPr>
            <w:r>
              <w:rPr>
                <w:b w:val="false"/>
                <w:bCs w:val="false"/>
                <w:sz w:val="18"/>
                <w:szCs w:val="18"/>
              </w:rPr>
              <w:t xml:space="preserve">Demand-creation content: “Why traceable synthesis beats black-box AI.” LinkedIn proof points using Winware capability. Comparison/listicle SEO to get ProductPlan included in category round-ups.</w:t>
            </w:r>
          </w:p>
        </w:tc>
        <w:tc>
          <w:tcPr>
            <w:tcW w:type="dxa" w:w="2160"/>
            <w:tcBorders>
              <w:top w:val="single" w:color="B7C6D9" w:sz="1"/>
              <w:left w:val="single" w:color="B7C6D9" w:sz="1"/>
              <w:bottom w:val="single" w:color="B7C6D9" w:sz="1"/>
              <w:right w:val="single" w:color="B7C6D9" w:sz="1"/>
            </w:tcBorders>
            <w:shd w:fill="FFFFFF" w:val="clear"/>
            <w:tcMar>
              <w:top w:type="dxa" w:w="80"/>
              <w:left w:type="dxa" w:w="100"/>
              <w:bottom w:type="dxa" w:w="80"/>
              <w:right w:type="dxa" w:w="100"/>
            </w:tcMar>
          </w:tcPr>
          <w:p>
            <w:pPr>
              <w:spacing w:after="0"/>
              <w:jc w:val="left"/>
            </w:pPr>
            <w:r>
              <w:rPr>
                <w:b w:val="false"/>
                <w:bCs w:val="false"/>
                <w:sz w:val="18"/>
                <w:szCs w:val="18"/>
              </w:rPr>
              <w:t xml:space="preserve">“Every claim traceable to a source quote” is exactly Winware.ai's value. ProductPlan should ensure it appears in these category round-ups — it's currently underrepresented vs. Dovetail, Pendo, Amplitude.</w:t>
            </w:r>
          </w:p>
        </w:tc>
      </w:tr>
      <w:tr>
        <w:tc>
          <w:tcPr>
            <w:tcW w:type="dxa" w:w="2400"/>
            <w:tcBorders>
              <w:top w:val="single" w:color="B7C6D9" w:sz="1"/>
              <w:left w:val="single" w:color="B7C6D9" w:sz="1"/>
              <w:bottom w:val="single" w:color="B7C6D9" w:sz="1"/>
              <w:right w:val="single" w:color="B7C6D9" w:sz="1"/>
            </w:tcBorders>
            <w:shd w:fill="EAF1F8" w:val="clear"/>
            <w:tcMar>
              <w:top w:type="dxa" w:w="80"/>
              <w:left w:type="dxa" w:w="100"/>
              <w:bottom w:type="dxa" w:w="80"/>
              <w:right w:type="dxa" w:w="100"/>
            </w:tcMar>
          </w:tcPr>
          <w:p>
            <w:pPr>
              <w:spacing w:after="40"/>
            </w:pPr>
            <w:r>
              <w:rPr>
                <w:b/>
                <w:bCs/>
                <w:sz w:val="18"/>
                <w:szCs w:val="18"/>
              </w:rPr>
              <w:t xml:space="preserve">6 Product Management Trends in 2026: the PM role is splitting</w:t>
            </w:r>
          </w:p>
          <w:p>
            <w:pPr>
              <w:spacing w:after="40"/>
            </w:pPr>
            <w:r>
              <w:rPr>
                <w:i/>
                <w:iCs/>
                <w:color w:val="555555"/>
                <w:sz w:val="16"/>
                <w:szCs w:val="16"/>
              </w:rPr>
              <w:t xml:space="preserve">Userpilot</w:t>
            </w:r>
          </w:p>
          <w:p>
            <w:hyperlink w:history="1" r:id="rIdtaosf8avmd4r-gvmj5voc">
              <w:r>
                <w:rPr>
                  <w:rStyle w:val="Hyperlink"/>
                  <w:sz w:val="16"/>
                  <w:szCs w:val="16"/>
                </w:rPr>
                <w:t xml:space="preserve">Link</w:t>
              </w:r>
            </w:hyperlink>
          </w:p>
        </w:tc>
        <w:tc>
          <w:tcPr>
            <w:tcW w:type="dxa" w:w="850"/>
            <w:tcBorders>
              <w:top w:val="single" w:color="B7C6D9" w:sz="1"/>
              <w:left w:val="single" w:color="B7C6D9" w:sz="1"/>
              <w:bottom w:val="single" w:color="B7C6D9" w:sz="1"/>
              <w:right w:val="single" w:color="B7C6D9" w:sz="1"/>
            </w:tcBorders>
            <w:shd w:fill="EAF1F8" w:val="clear"/>
            <w:tcMar>
              <w:top w:type="dxa" w:w="80"/>
              <w:left w:type="dxa" w:w="100"/>
              <w:bottom w:type="dxa" w:w="80"/>
              <w:right w:type="dxa" w:w="100"/>
            </w:tcMar>
          </w:tcPr>
          <w:p>
            <w:pPr>
              <w:spacing w:after="0"/>
              <w:jc w:val="left"/>
            </w:pPr>
            <w:r>
              <w:rPr>
                <w:b w:val="false"/>
                <w:bCs w:val="false"/>
                <w:sz w:val="18"/>
                <w:szCs w:val="18"/>
              </w:rPr>
              <w:t xml:space="preserve">2026</w:t>
            </w:r>
          </w:p>
        </w:tc>
        <w:tc>
          <w:tcPr>
            <w:tcW w:type="dxa" w:w="2850"/>
            <w:tcBorders>
              <w:top w:val="single" w:color="B7C6D9" w:sz="1"/>
              <w:left w:val="single" w:color="B7C6D9" w:sz="1"/>
              <w:bottom w:val="single" w:color="B7C6D9" w:sz="1"/>
              <w:right w:val="single" w:color="B7C6D9" w:sz="1"/>
            </w:tcBorders>
            <w:shd w:fill="EAF1F8" w:val="clear"/>
            <w:tcMar>
              <w:top w:type="dxa" w:w="80"/>
              <w:left w:type="dxa" w:w="100"/>
              <w:bottom w:type="dxa" w:w="80"/>
              <w:right w:type="dxa" w:w="100"/>
            </w:tcMar>
          </w:tcPr>
          <w:p>
            <w:pPr>
              <w:spacing w:after="0"/>
              <w:jc w:val="left"/>
            </w:pPr>
            <w:r>
              <w:rPr>
                <w:b w:val="false"/>
                <w:bCs w:val="false"/>
                <w:sz w:val="18"/>
                <w:szCs w:val="18"/>
              </w:rPr>
              <w:t xml:space="preserve">Argues the PM role is fracturing — some PMs going deeply technical/AI-adjacent, others toward growth, lifecycle and monetization. 2026 rewards specialists, outcome narratives and continuous learners. AI's bigger value is helping orgs make sense of information they already have.</w:t>
            </w:r>
          </w:p>
        </w:tc>
        <w:tc>
          <w:tcPr>
            <w:tcW w:type="dxa" w:w="1750"/>
            <w:tcBorders>
              <w:top w:val="single" w:color="B7C6D9" w:sz="1"/>
              <w:left w:val="single" w:color="B7C6D9" w:sz="1"/>
              <w:bottom w:val="single" w:color="B7C6D9" w:sz="1"/>
              <w:right w:val="single" w:color="B7C6D9" w:sz="1"/>
            </w:tcBorders>
            <w:shd w:fill="EAF1F8" w:val="clear"/>
            <w:tcMar>
              <w:top w:type="dxa" w:w="80"/>
              <w:left w:type="dxa" w:w="100"/>
              <w:bottom w:type="dxa" w:w="80"/>
              <w:right w:type="dxa" w:w="100"/>
            </w:tcMar>
          </w:tcPr>
          <w:p>
            <w:pPr>
              <w:spacing w:after="0"/>
              <w:jc w:val="left"/>
            </w:pPr>
            <w:r>
              <w:rPr>
                <w:b w:val="false"/>
                <w:bCs w:val="false"/>
                <w:sz w:val="18"/>
                <w:szCs w:val="18"/>
              </w:rPr>
              <w:t xml:space="preserve">“AI,” “product-led,” “decision-making” — relevant context on buyer behavior, less product-specific.</w:t>
            </w:r>
          </w:p>
        </w:tc>
        <w:tc>
          <w:tcPr>
            <w:tcW w:type="dxa" w:w="700"/>
            <w:tcBorders>
              <w:top w:val="single" w:color="B7C6D9" w:sz="1"/>
              <w:left w:val="single" w:color="B7C6D9" w:sz="1"/>
              <w:bottom w:val="single" w:color="B7C6D9" w:sz="1"/>
              <w:right w:val="single" w:color="B7C6D9" w:sz="1"/>
            </w:tcBorders>
            <w:shd w:fill="EAF1F8" w:val="clear"/>
            <w:tcMar>
              <w:top w:type="dxa" w:w="80"/>
              <w:left w:type="dxa" w:w="100"/>
              <w:bottom w:type="dxa" w:w="80"/>
              <w:right w:type="dxa" w:w="100"/>
            </w:tcMar>
            <w:vAlign w:val="center"/>
          </w:tcPr>
          <w:p>
            <w:pPr>
              <w:spacing w:after="0"/>
              <w:jc w:val="center"/>
            </w:pPr>
            <w:r>
              <w:rPr>
                <w:b/>
                <w:bCs/>
                <w:sz w:val="18"/>
                <w:szCs w:val="18"/>
              </w:rPr>
              <w:t xml:space="preserve">3</w:t>
            </w:r>
          </w:p>
        </w:tc>
        <w:tc>
          <w:tcPr>
            <w:tcW w:type="dxa" w:w="2250"/>
            <w:tcBorders>
              <w:top w:val="single" w:color="B7C6D9" w:sz="1"/>
              <w:left w:val="single" w:color="B7C6D9" w:sz="1"/>
              <w:bottom w:val="single" w:color="B7C6D9" w:sz="1"/>
              <w:right w:val="single" w:color="B7C6D9" w:sz="1"/>
            </w:tcBorders>
            <w:shd w:fill="EAF1F8" w:val="clear"/>
            <w:tcMar>
              <w:top w:type="dxa" w:w="80"/>
              <w:left w:type="dxa" w:w="100"/>
              <w:bottom w:type="dxa" w:w="80"/>
              <w:right w:type="dxa" w:w="100"/>
            </w:tcMar>
          </w:tcPr>
          <w:p>
            <w:pPr>
              <w:spacing w:after="0"/>
              <w:jc w:val="left"/>
            </w:pPr>
            <w:r>
              <w:rPr>
                <w:b w:val="false"/>
                <w:bCs w:val="false"/>
                <w:sz w:val="18"/>
                <w:szCs w:val="18"/>
              </w:rPr>
              <w:t xml:space="preserve">Quick-hit social posts on role evolution. Audience-awareness content mapping ProductPlan value to each PM archetype. Lower priority — supporting evidence, not a headline.</w:t>
            </w:r>
          </w:p>
        </w:tc>
        <w:tc>
          <w:tcPr>
            <w:tcW w:type="dxa" w:w="2160"/>
            <w:tcBorders>
              <w:top w:val="single" w:color="B7C6D9" w:sz="1"/>
              <w:left w:val="single" w:color="B7C6D9" w:sz="1"/>
              <w:bottom w:val="single" w:color="B7C6D9" w:sz="1"/>
              <w:right w:val="single" w:color="B7C6D9" w:sz="1"/>
            </w:tcBorders>
            <w:shd w:fill="EAF1F8" w:val="clear"/>
            <w:tcMar>
              <w:top w:type="dxa" w:w="80"/>
              <w:left w:type="dxa" w:w="100"/>
              <w:bottom w:type="dxa" w:w="80"/>
              <w:right w:type="dxa" w:w="100"/>
            </w:tcMar>
          </w:tcPr>
          <w:p>
            <w:pPr>
              <w:spacing w:after="0"/>
              <w:jc w:val="left"/>
            </w:pPr>
            <w:r>
              <w:rPr>
                <w:b w:val="false"/>
                <w:bCs w:val="false"/>
                <w:sz w:val="18"/>
                <w:szCs w:val="18"/>
              </w:rPr>
              <w:t xml:space="preserve">Reinforces that PMs increasingly want to “make sense of information they already have” — ProductPlan's synthesis story. Useful as supporting evidence for awareness content rather than a standalone hook.</w:t>
            </w:r>
          </w:p>
        </w:tc>
      </w:tr>
    </w:tbl>
    <w:p>
      <w:pPr>
        <w:pStyle w:val="Heading1"/>
        <w:pageBreakBefore/>
      </w:pPr>
      <w:r>
        <w:t xml:space="preserve">Recommended Next Actions</w:t>
      </w:r>
    </w:p>
    <w:p>
      <w:pPr>
        <w:pStyle w:val="ListParagraph"/>
        <w:numPr>
          <w:ilvl w:val="0"/>
          <w:numId w:val="3"/>
        </w:numPr>
        <w:spacing w:after="80"/>
      </w:pPr>
      <w:r>
        <w:rPr>
          <w:b/>
          <w:bCs/>
          <w:sz w:val="22"/>
          <w:szCs w:val="22"/>
        </w:rPr>
        <w:t xml:space="preserve">Claim the “decision gap” narrative now. </w:t>
      </w:r>
      <w:r>
        <w:rPr>
          <w:sz w:val="22"/>
          <w:szCs w:val="22"/>
        </w:rPr>
        <w:t xml:space="preserve">Draft a LinkedIn post + short blog responding to Atlassian's State of Product 2026 84% stat, reframing it as the problem ProductPlan was built to solve. Get it live this week while the report is still circulating.</w:t>
      </w:r>
    </w:p>
    <w:p>
      <w:pPr>
        <w:pStyle w:val="ListParagraph"/>
        <w:numPr>
          <w:ilvl w:val="0"/>
          <w:numId w:val="3"/>
        </w:numPr>
        <w:spacing w:after="80"/>
      </w:pPr>
      <w:r>
        <w:rPr>
          <w:b/>
          <w:bCs/>
          <w:sz w:val="22"/>
          <w:szCs w:val="22"/>
        </w:rPr>
        <w:t xml:space="preserve">Refresh the Atlassian and monday.com battlecards. </w:t>
      </w:r>
      <w:r>
        <w:rPr>
          <w:sz w:val="22"/>
          <w:szCs w:val="22"/>
        </w:rPr>
        <w:t xml:space="preserve">Update sales enablement to contrast a feedback engine bolted onto Jira (Cycle) and a horizontal AI Work Platform (monday) against a purpose-built Product Intelligence Platform with native Winware synthesis.</w:t>
      </w:r>
    </w:p>
    <w:p>
      <w:pPr>
        <w:pStyle w:val="ListParagraph"/>
        <w:numPr>
          <w:ilvl w:val="0"/>
          <w:numId w:val="3"/>
        </w:numPr>
        <w:spacing w:after="80"/>
      </w:pPr>
      <w:r>
        <w:rPr>
          <w:b/>
          <w:bCs/>
          <w:sz w:val="22"/>
          <w:szCs w:val="22"/>
        </w:rPr>
        <w:t xml:space="preserve">Get ProductPlan into the customer-insight category round-ups. </w:t>
      </w:r>
      <w:r>
        <w:rPr>
          <w:sz w:val="22"/>
          <w:szCs w:val="22"/>
        </w:rPr>
        <w:t xml:space="preserve">It's currently underrepresented vs. Dovetail, Pendo, and Amplitude. Pitch a “traceable synthesis” comparison page and outreach to the round-up authors.</w:t>
      </w:r>
    </w:p>
    <w:p>
      <w:pPr>
        <w:pStyle w:val="ListParagraph"/>
        <w:numPr>
          <w:ilvl w:val="0"/>
          <w:numId w:val="3"/>
        </w:numPr>
        <w:spacing w:after="80"/>
      </w:pPr>
      <w:r>
        <w:rPr>
          <w:b/>
          <w:bCs/>
          <w:sz w:val="22"/>
          <w:szCs w:val="22"/>
        </w:rPr>
        <w:t xml:space="preserve">Lock in the “continuous decision system” SEO pillar. </w:t>
      </w:r>
      <w:r>
        <w:rPr>
          <w:sz w:val="22"/>
          <w:szCs w:val="22"/>
        </w:rPr>
        <w:t xml:space="preserve">Build a pillar page around “from static roadmaps to a living product intelligence loop” to own the language before competitors do.</w:t>
      </w:r>
    </w:p>
    <w:p>
      <w:pPr>
        <w:pStyle w:val="ListParagraph"/>
        <w:numPr>
          <w:ilvl w:val="0"/>
          <w:numId w:val="3"/>
        </w:numPr>
        <w:spacing w:after="80"/>
      </w:pPr>
      <w:r>
        <w:rPr>
          <w:b/>
          <w:bCs/>
          <w:sz w:val="22"/>
          <w:szCs w:val="22"/>
        </w:rPr>
        <w:t xml:space="preserve">Keep monitoring. </w:t>
      </w:r>
      <w:r>
        <w:rPr>
          <w:sz w:val="22"/>
          <w:szCs w:val="22"/>
        </w:rPr>
        <w:t xml:space="preserve">Track Jira Product Discovery + Cycle integration milestones, Productboard gen-2 AI rollout, and monday.com agent expansion. Keep watching keywords: “product intelligence platform,” “AI product management,” “customer insight synthesis.”</w:t>
      </w:r>
    </w:p>
    <w:sectPr>
      <w:pgSz w:w="15840" w:h="12240" w:orient="landscape"/>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18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wn_4-yoznb7etbkn4vx1" Type="http://schemas.openxmlformats.org/officeDocument/2006/relationships/hyperlink" Target="https://www.atlassian.com/blog/announcements/cycle-joining-atlassian" TargetMode="External"/><Relationship Id="rId9i53wzikwxi_pdbua1agi" Type="http://schemas.openxmlformats.org/officeDocument/2006/relationships/hyperlink" Target="https://siliconangle.com/2026/05/06/monday-com-relaunches-ai-work-platform-native-agents/" TargetMode="External"/><Relationship Id="rIdeth0pxiy39qsrxam0c2no" Type="http://schemas.openxmlformats.org/officeDocument/2006/relationships/hyperlink" Target="https://www.atlassian.com/software/jira/product-discovery/resources/state-of-product-2026" TargetMode="External"/><Relationship Id="rIdx-pxzjhgduoxronxy-va9" Type="http://schemas.openxmlformats.org/officeDocument/2006/relationships/hyperlink" Target="https://www.productboard.com/blog/productboard-ai-2/" TargetMode="External"/><Relationship Id="rIdrfazgjhlmrpssl4hmk0um" Type="http://schemas.openxmlformats.org/officeDocument/2006/relationships/hyperlink" Target="https://www.mindtheproduct.com/the-2026-ai-product-strategy-huide-how-to-plan-budget-and-build-without-buying-into-the-hype/" TargetMode="External"/><Relationship Id="rIdxrxue6wrrptv_xecx9lqe" Type="http://schemas.openxmlformats.org/officeDocument/2006/relationships/hyperlink" Target="https://www.productleadership.com/blog/ai-product-management-ai-native-loop/" TargetMode="External"/><Relationship Id="rIdad8l5l755p8gabwt4szca" Type="http://schemas.openxmlformats.org/officeDocument/2006/relationships/hyperlink" Target="https://getperspective.ai/blog/best-ai-customer-insight-platforms-enterprise-2026-12-tools-ranked" TargetMode="External"/><Relationship Id="rIdtaosf8avmd4r-gvmj5voc" Type="http://schemas.openxmlformats.org/officeDocument/2006/relationships/hyperlink" Target="https://userpilot.com/blog/product-management-trends/"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2026-06-15T10:07:14.890Z</dcterms:created>
  <dcterms:modified xsi:type="dcterms:W3CDTF">2026-06-15T10:07:14.890Z</dcterms:modified>
</cp:coreProperties>
</file>

<file path=docProps/custom.xml><?xml version="1.0" encoding="utf-8"?>
<Properties xmlns="http://schemas.openxmlformats.org/officeDocument/2006/custom-properties" xmlns:vt="http://schemas.openxmlformats.org/officeDocument/2006/docPropsVTypes"/>
</file>