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ProductPlan — Weekly Market Intelligence</w:t>
      </w:r>
    </w:p>
    <w:p>
      <w:pPr>
        <w:spacing w:after="160"/>
      </w:pPr>
      <w:r>
        <w:rPr>
          <w:b/>
          <w:bCs/>
          <w:sz w:val="20"/>
          <w:szCs w:val="20"/>
        </w:rPr>
        <w:t xml:space="preserve">Coverage: June 22 – June 29, 2026</w:t>
      </w:r>
      <w:r>
        <w:rPr>
          <w:color w:val="666666"/>
          <w:sz w:val="20"/>
          <w:szCs w:val="20"/>
        </w:rPr>
        <w:t xml:space="preserve">   |   Generated: June 29, 2026   |   Next run: July 6, 2026</w:t>
      </w:r>
    </w:p>
    <w:p>
      <w:pPr>
        <w:pStyle w:val="Heading2"/>
      </w:pPr>
      <w:r>
        <w:t xml:space="preserve">Executive Note</w:t>
      </w:r>
    </w:p>
    <w:p>
      <w:pPr>
        <w:spacing w:after="100"/>
      </w:pPr>
      <w:r>
        <w:rPr>
          <w:sz w:val="20"/>
          <w:szCs w:val="20"/>
        </w:rPr>
        <w:t xml:space="preserve">The headline this week: Productboard Spark — the closest direct competitor's agentic AI PM assistant — graduated from public beta to general availability (June 22). Combined with Atlassian's continued Product Collection rollout (a Feedback app that ingests support, sales, CRM, and Slack signal, with JPD Enterprise GA approaching) and monday's June Vibe AI expansion, all three primary competitors now ship AI customer-signal-to-decision features. Winware's synthesis is officially category table stakes to defend, not a novelty to announce.</w:t>
      </w:r>
    </w:p>
    <w:p>
      <w:pPr>
        <w:spacing w:after="160"/>
      </w:pPr>
      <w:r>
        <w:rPr>
          <w:sz w:val="20"/>
          <w:szCs w:val="20"/>
        </w:rPr>
        <w:t xml:space="preserve">The good news: the demand narrative keeps getting handed to ProductPlan. The Airtable 2026 Insights Report found only 31% of product leaders are confident they're building the right product and 1 in 5 say roadmaps are derailed by reactive decisions — the exact evidence gap Product Intelligence closes. ProductPlan's durable edge is signal breadth (Gong + surveys + CRM) plus source-quote traceability — the criterion analysts and SVPG now call the moat. Move on “evidence gap” and “traceable synthesis” language before a competitor frames it first.</w:t>
      </w:r>
    </w:p>
    <w:p>
      <w:pPr>
        <w:pStyle w:val="Heading2"/>
      </w:pPr>
      <w:r>
        <w:t xml:space="preserve">Research Table (sorted by relevance, highest first)</w:t>
      </w:r>
    </w:p>
    <w:tbl>
      <w:tblPr>
        <w:tblW w:type="dxa" w:w="108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300"/>
        <w:gridCol w:w="1500"/>
        <w:gridCol w:w="700"/>
        <w:gridCol w:w="1900"/>
        <w:gridCol w:w="1860"/>
      </w:tblGrid>
      <w:tr>
        <w:trPr>
          <w:tblHeader/>
        </w:trPr>
        <w:tc>
          <w:tcPr>
            <w:tcW w:type="dxa" w:w="1500"/>
            <w:tcBorders>
              <w:top w:val="single" w:color="CCCCCC" w:sz="1"/>
              <w:left w:val="single" w:color="CCCCCC" w:sz="1"/>
              <w:bottom w:val="single" w:color="CCCCCC" w:sz="1"/>
              <w:right w:val="single" w:color="CCCCCC" w:sz="1"/>
            </w:tcBorders>
            <w:shd w:fill="0F0960" w:val="clear"/>
            <w:tcMar>
              <w:top w:type="dxa" w:w="80"/>
              <w:left w:type="dxa" w:w="120"/>
              <w:bottom w:type="dxa" w:w="80"/>
              <w:right w:type="dxa" w:w="120"/>
            </w:tcMar>
          </w:tcPr>
          <w:p>
            <w:r>
              <w:rPr>
                <w:b/>
                <w:bCs/>
                <w:color w:val="FFFFFF"/>
                <w:sz w:val="16"/>
                <w:szCs w:val="16"/>
              </w:rPr>
              <w:t xml:space="preserve">Article / Source</w:t>
            </w:r>
          </w:p>
        </w:tc>
        <w:tc>
          <w:tcPr>
            <w:tcW w:type="dxa" w:w="1100"/>
            <w:tcBorders>
              <w:top w:val="single" w:color="CCCCCC" w:sz="1"/>
              <w:left w:val="single" w:color="CCCCCC" w:sz="1"/>
              <w:bottom w:val="single" w:color="CCCCCC" w:sz="1"/>
              <w:right w:val="single" w:color="CCCCCC" w:sz="1"/>
            </w:tcBorders>
            <w:shd w:fill="0F0960" w:val="clear"/>
            <w:tcMar>
              <w:top w:type="dxa" w:w="80"/>
              <w:left w:type="dxa" w:w="120"/>
              <w:bottom w:type="dxa" w:w="80"/>
              <w:right w:type="dxa" w:w="120"/>
            </w:tcMar>
          </w:tcPr>
          <w:p>
            <w:r>
              <w:rPr>
                <w:b/>
                <w:bCs/>
                <w:color w:val="FFFFFF"/>
                <w:sz w:val="16"/>
                <w:szCs w:val="16"/>
              </w:rPr>
              <w:t xml:space="preserve">Date</w:t>
            </w:r>
          </w:p>
        </w:tc>
        <w:tc>
          <w:tcPr>
            <w:tcW w:type="dxa" w:w="2300"/>
            <w:tcBorders>
              <w:top w:val="single" w:color="CCCCCC" w:sz="1"/>
              <w:left w:val="single" w:color="CCCCCC" w:sz="1"/>
              <w:bottom w:val="single" w:color="CCCCCC" w:sz="1"/>
              <w:right w:val="single" w:color="CCCCCC" w:sz="1"/>
            </w:tcBorders>
            <w:shd w:fill="0F0960" w:val="clear"/>
            <w:tcMar>
              <w:top w:type="dxa" w:w="80"/>
              <w:left w:type="dxa" w:w="120"/>
              <w:bottom w:type="dxa" w:w="80"/>
              <w:right w:type="dxa" w:w="120"/>
            </w:tcMar>
          </w:tcPr>
          <w:p>
            <w:r>
              <w:rPr>
                <w:b/>
                <w:bCs/>
                <w:color w:val="FFFFFF"/>
                <w:sz w:val="16"/>
                <w:szCs w:val="16"/>
              </w:rPr>
              <w:t xml:space="preserve">Summary</w:t>
            </w:r>
          </w:p>
        </w:tc>
        <w:tc>
          <w:tcPr>
            <w:tcW w:type="dxa" w:w="1500"/>
            <w:tcBorders>
              <w:top w:val="single" w:color="CCCCCC" w:sz="1"/>
              <w:left w:val="single" w:color="CCCCCC" w:sz="1"/>
              <w:bottom w:val="single" w:color="CCCCCC" w:sz="1"/>
              <w:right w:val="single" w:color="CCCCCC" w:sz="1"/>
            </w:tcBorders>
            <w:shd w:fill="0F0960" w:val="clear"/>
            <w:tcMar>
              <w:top w:type="dxa" w:w="80"/>
              <w:left w:type="dxa" w:w="120"/>
              <w:bottom w:type="dxa" w:w="80"/>
              <w:right w:type="dxa" w:w="120"/>
            </w:tcMar>
          </w:tcPr>
          <w:p>
            <w:r>
              <w:rPr>
                <w:b/>
                <w:bCs/>
                <w:color w:val="FFFFFF"/>
                <w:sz w:val="16"/>
                <w:szCs w:val="16"/>
              </w:rPr>
              <w:t xml:space="preserve">Keywords &amp; Context</w:t>
            </w:r>
          </w:p>
        </w:tc>
        <w:tc>
          <w:tcPr>
            <w:tcW w:type="dxa" w:w="700"/>
            <w:tcBorders>
              <w:top w:val="single" w:color="CCCCCC" w:sz="1"/>
              <w:left w:val="single" w:color="CCCCCC" w:sz="1"/>
              <w:bottom w:val="single" w:color="CCCCCC" w:sz="1"/>
              <w:right w:val="single" w:color="CCCCCC" w:sz="1"/>
            </w:tcBorders>
            <w:shd w:fill="0F0960" w:val="clear"/>
            <w:tcMar>
              <w:top w:type="dxa" w:w="80"/>
              <w:left w:type="dxa" w:w="120"/>
              <w:bottom w:type="dxa" w:w="80"/>
              <w:right w:type="dxa" w:w="120"/>
            </w:tcMar>
          </w:tcPr>
          <w:p>
            <w:r>
              <w:rPr>
                <w:b/>
                <w:bCs/>
                <w:color w:val="FFFFFF"/>
                <w:sz w:val="16"/>
                <w:szCs w:val="16"/>
              </w:rPr>
              <w:t xml:space="preserve">Score</w:t>
            </w:r>
          </w:p>
        </w:tc>
        <w:tc>
          <w:tcPr>
            <w:tcW w:type="dxa" w:w="1900"/>
            <w:tcBorders>
              <w:top w:val="single" w:color="CCCCCC" w:sz="1"/>
              <w:left w:val="single" w:color="CCCCCC" w:sz="1"/>
              <w:bottom w:val="single" w:color="CCCCCC" w:sz="1"/>
              <w:right w:val="single" w:color="CCCCCC" w:sz="1"/>
            </w:tcBorders>
            <w:shd w:fill="0F0960" w:val="clear"/>
            <w:tcMar>
              <w:top w:type="dxa" w:w="80"/>
              <w:left w:type="dxa" w:w="120"/>
              <w:bottom w:type="dxa" w:w="80"/>
              <w:right w:type="dxa" w:w="120"/>
            </w:tcMar>
          </w:tcPr>
          <w:p>
            <w:r>
              <w:rPr>
                <w:b/>
                <w:bCs/>
                <w:color w:val="FFFFFF"/>
                <w:sz w:val="16"/>
                <w:szCs w:val="16"/>
              </w:rPr>
              <w:t xml:space="preserve">How to Engage</w:t>
            </w:r>
          </w:p>
        </w:tc>
        <w:tc>
          <w:tcPr>
            <w:tcW w:type="dxa" w:w="1860"/>
            <w:tcBorders>
              <w:top w:val="single" w:color="CCCCCC" w:sz="1"/>
              <w:left w:val="single" w:color="CCCCCC" w:sz="1"/>
              <w:bottom w:val="single" w:color="CCCCCC" w:sz="1"/>
              <w:right w:val="single" w:color="CCCCCC" w:sz="1"/>
            </w:tcBorders>
            <w:shd w:fill="0F0960" w:val="clear"/>
            <w:tcMar>
              <w:top w:type="dxa" w:w="80"/>
              <w:left w:type="dxa" w:w="120"/>
              <w:bottom w:type="dxa" w:w="80"/>
              <w:right w:type="dxa" w:w="120"/>
            </w:tcMar>
          </w:tcPr>
          <w:p>
            <w:r>
              <w:rPr>
                <w:b/>
                <w:bCs/>
                <w:color w:val="FFFFFF"/>
                <w:sz w:val="16"/>
                <w:szCs w:val="16"/>
              </w:rPr>
              <w:t xml:space="preserve">ProductPlan Fit</w:t>
            </w:r>
          </w:p>
        </w:tc>
      </w:tr>
      <w:tr>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hyperlink w:history="1" r:id="rId0c_5r0y8wd3c9aqrgrs_9">
              <w:r>
                <w:rPr>
                  <w:rStyle w:val="Hyperlink"/>
                  <w:b/>
                  <w:bCs/>
                  <w:sz w:val="16"/>
                  <w:szCs w:val="16"/>
                </w:rPr>
                <w:t xml:space="preserve">Productboard Spark reaches General Availability</w:t>
              </w:r>
            </w:hyperlink>
          </w:p>
          <w:p>
            <w:r>
              <w:rPr>
                <w:i/>
                <w:iCs/>
                <w:color w:val="666666"/>
                <w:sz w:val="16"/>
                <w:szCs w:val="16"/>
              </w:rPr>
              <w:t xml:space="preserve">Productboard Support / Release Notes</w:t>
            </w:r>
          </w:p>
        </w:tc>
        <w:tc>
          <w:tcPr>
            <w:tcW w:type="dxa" w:w="11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June 22, 2026</w:t>
            </w:r>
          </w:p>
        </w:tc>
        <w:tc>
          <w:tcPr>
            <w:tcW w:type="dxa" w:w="23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Productboard Spark — its agentic AI product-management assistant — moved from public beta (launched Jan 2026) to general availability on June 22. Spark surfaces opportunities, drafts delivery-ready specs grounded in codebase and strategy, runs feedback and competitive analyses, and now runs entirely on Skills with keyword + semantic search across Spark documents. It is the closest direct competitor productizing AI synthesis end to end.</w:t>
            </w:r>
          </w:p>
        </w:tc>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“AI product management,” “product intelligence,” “customer insights” — central; Spark is positioned as an AI agent that understands product, customers, and market.</w:t>
            </w:r>
          </w:p>
        </w:tc>
        <w:tc>
          <w:tcPr>
            <w:tcW w:type="dxa" w:w="7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pPr>
              <w:jc w:val="center"/>
            </w:pPr>
            <w:r>
              <w:rPr>
                <w:b/>
                <w:bCs/>
                <w:color w:val="B7770D"/>
                <w:sz w:val="22"/>
                <w:szCs w:val="22"/>
              </w:rPr>
              <w:t xml:space="preserve">5</w:t>
            </w:r>
          </w:p>
        </w:tc>
        <w:tc>
          <w:tcPr>
            <w:tcW w:type="dxa" w:w="19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Refresh the Productboard battlecard (GA, not beta); CEO/brand LinkedIn POV on “trustworthy synthesis”; competitive teardown: Spark vs. ProductPlan evidence trail; objection-handling note for sales.</w:t>
            </w:r>
          </w:p>
        </w:tc>
        <w:tc>
          <w:tcPr>
            <w:tcW w:type="dxa" w:w="186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Spark's AI works mostly on feedback captured inside Productboard. Winware ingests broader external signal (Gong calls + surveys + CRM) with source-quote traceability — lead with signal breadth + trust, not just automation.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3eedhsatc_4xgk7qdrtmi">
              <w:r>
                <w:rPr>
                  <w:rStyle w:val="Hyperlink"/>
                  <w:b/>
                  <w:bCs/>
                  <w:sz w:val="16"/>
                  <w:szCs w:val="16"/>
                </w:rPr>
                <w:t xml:space="preserve">Atlassian Product Collection momentum — JPD Enterprise GA nears, Pendo integration, Feedback app</w:t>
              </w:r>
            </w:hyperlink>
          </w:p>
          <w:p>
            <w:r>
              <w:rPr>
                <w:i/>
                <w:iCs/>
                <w:color w:val="666666"/>
                <w:sz w:val="16"/>
                <w:szCs w:val="16"/>
              </w:rPr>
              <w:t xml:space="preserve">Inside Atlassian / Atlassian Community (Feature Focus June)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June 2026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Atlassian continued rolling out Product Collection, its AI-powered “product operating system” (Jira Product Discovery + new Feedback app + Rovo). The Feedback app captures input from support tickets, sales calls, CRM, and Slack and uses AI to organize it into insights flowing into JPD; Pendo is the first analytics integration. Rovo agentic roadmapping generates and evolves “living roadmaps,” and JPD Enterprise is slated for GA in the coming months.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“product roadmapping software,” “product prioritization,” “customer insights” — central; Atlassian's Feedback app directly mirrors Winware's call/CRM synthesis.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B7770D"/>
                <w:sz w:val="22"/>
                <w:szCs w:val="22"/>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Executive briefing on platform-bundling threat; sales talking point (best-of-breed intelligence vs. suite); LinkedIn: agentic roadmaps need trustworthy customer signal, not just Jira tickets.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Rovo reasons over Jira delivery data; ProductPlan + Winware reason over external customer &amp; market evidence. Position purpose-built Product Intelligence, tool-agnostic, feeding better decisions into Jira rather than locking teams in.</w:t>
            </w:r>
          </w:p>
        </w:tc>
      </w:tr>
      <w:tr>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hyperlink w:history="1" r:id="rId1-96dmbfycyodfeocpnly">
              <w:r>
                <w:rPr>
                  <w:rStyle w:val="Hyperlink"/>
                  <w:b/>
                  <w:bCs/>
                  <w:sz w:val="16"/>
                  <w:szCs w:val="16"/>
                </w:rPr>
                <w:t xml:space="preserve">Airtable 2026 Insights Report: only 31% of leaders confident they're building the right product</w:t>
              </w:r>
            </w:hyperlink>
          </w:p>
          <w:p>
            <w:r>
              <w:rPr>
                <w:i/>
                <w:iCs/>
                <w:color w:val="666666"/>
                <w:sz w:val="16"/>
                <w:szCs w:val="16"/>
              </w:rPr>
              <w:t xml:space="preserve">Product Coalition (citing Airtable 2026 Insights Report)</w:t>
            </w:r>
          </w:p>
        </w:tc>
        <w:tc>
          <w:tcPr>
            <w:tcW w:type="dxa" w:w="11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June 2026</w:t>
            </w:r>
          </w:p>
        </w:tc>
        <w:tc>
          <w:tcPr>
            <w:tcW w:type="dxa" w:w="23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Per the Airtable 2026 Insights Report for Product Teams, only 31% of product leaders feel confident they are building the right product for their market, and one in five say their roadmap is frequently derailed by reactive decisions. The report argues AI hype has become one of the fastest ways for roadmaps to get derailed because pressure arrives long before evidence. The framing: chase evidence, not novelty.</w:t>
            </w:r>
          </w:p>
        </w:tc>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“product prioritization,” “customer insights,” “AI product strategy” — central; built around the evidence-vs-opinion decision gap.</w:t>
            </w:r>
          </w:p>
        </w:tc>
        <w:tc>
          <w:tcPr>
            <w:tcW w:type="dxa" w:w="7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pPr>
              <w:jc w:val="center"/>
            </w:pPr>
            <w:r>
              <w:rPr>
                <w:b/>
                <w:bCs/>
                <w:color w:val="0F0960"/>
                <w:sz w:val="22"/>
                <w:szCs w:val="22"/>
              </w:rPr>
              <w:t xml:space="preserve">4</w:t>
            </w:r>
          </w:p>
        </w:tc>
        <w:tc>
          <w:tcPr>
            <w:tcW w:type="dxa" w:w="19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Anchor stat for a LinkedIn carousel + gated asset; webinar framing on the “evidence gap”; email nurture hook for Director+ segment; pairs with Atlassian's State of Product 2026 data.</w:t>
            </w:r>
          </w:p>
        </w:tc>
        <w:tc>
          <w:tcPr>
            <w:tcW w:type="dxa" w:w="186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This is ProductPlan's core ICP pain point quantified: decisions made without evidence and roadmaps derailed by reactivity. Product Intelligence + Winware exist to close exactly this gap.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3zb96b-eiwgznf-szzj-">
              <w:r>
                <w:rPr>
                  <w:rStyle w:val="Hyperlink"/>
                  <w:b/>
                  <w:bCs/>
                  <w:sz w:val="16"/>
                  <w:szCs w:val="16"/>
                </w:rPr>
                <w:t xml:space="preserve">Pragmatic Institute webinar: The Impact of AI Agents on the Product Lifecycle</w:t>
              </w:r>
            </w:hyperlink>
          </w:p>
          <w:p>
            <w:r>
              <w:rPr>
                <w:i/>
                <w:iCs/>
                <w:color w:val="666666"/>
                <w:sz w:val="16"/>
                <w:szCs w:val="16"/>
              </w:rPr>
              <w:t xml:space="preserve">Pragmatic Institute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June 23, 2026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Pragmatic Institute ran a live session on how AI agents are changing the way product teams research markets, prioritize opportunities, and analyze customer feedback. The event signals that “agentic” synthesis of customer signal is now mainstream PM curriculum, not a fringe topic. A follow-on session, “Vibe Coding — Are Product Leaders Ready?”, is scheduled for July 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“AI product management,” “product prioritization AI,” “customer insights” — central to the session description.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F0960"/>
                <w:sz w:val="22"/>
                <w:szCs w:val="22"/>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Comment/engage on the event thread; pitch a guest byline or sponsored follow-up; repurpose the “AI agents in the product lifecycle” theme into a ProductPlan webinar.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Winware is the agentic synthesis layer the session describes — turning calls, surveys, and CRM into prioritized, evidence-backed decisions inside the roadmap tool.</w:t>
            </w:r>
          </w:p>
        </w:tc>
      </w:tr>
      <w:tr>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hyperlink w:history="1" r:id="rIduad0llmmwchmpvdrvmdev">
              <w:r>
                <w:rPr>
                  <w:rStyle w:val="Hyperlink"/>
                  <w:b/>
                  <w:bCs/>
                  <w:sz w:val="16"/>
                  <w:szCs w:val="16"/>
                </w:rPr>
                <w:t xml:space="preserve">SVPG: Product Coaching and AI — AI as product coach, not replacement</w:t>
              </w:r>
            </w:hyperlink>
          </w:p>
          <w:p>
            <w:r>
              <w:rPr>
                <w:i/>
                <w:iCs/>
                <w:color w:val="666666"/>
                <w:sz w:val="16"/>
                <w:szCs w:val="16"/>
              </w:rPr>
              <w:t xml:space="preserve">Silicon Valley Product Group (Marty Cagan)</w:t>
            </w:r>
          </w:p>
        </w:tc>
        <w:tc>
          <w:tcPr>
            <w:tcW w:type="dxa" w:w="11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2026 (surfacing in June)</w:t>
            </w:r>
          </w:p>
        </w:tc>
        <w:tc>
          <w:tcPr>
            <w:tcW w:type="dxa" w:w="23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SVPG argues product creators and leaders should use foundation models as a personal product coach to develop product sense and judgment. The thesis: with delivery cheap, discovery and judgment are the bottleneck, and AI raises — not lowers — the bar for evidence and customer understanding. Cagan frames AI as an amplifier of empowered product teams.</w:t>
            </w:r>
          </w:p>
        </w:tc>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“AI product management,” “product research,” “product intelligence” — substantive; centers judgment + discovery.</w:t>
            </w:r>
          </w:p>
        </w:tc>
        <w:tc>
          <w:tcPr>
            <w:tcW w:type="dxa" w:w="7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pPr>
              <w:jc w:val="center"/>
            </w:pPr>
            <w:r>
              <w:rPr>
                <w:b/>
                <w:bCs/>
                <w:color w:val="0F0960"/>
                <w:sz w:val="22"/>
                <w:szCs w:val="22"/>
              </w:rPr>
              <w:t xml:space="preserve">4</w:t>
            </w:r>
          </w:p>
        </w:tc>
        <w:tc>
          <w:tcPr>
            <w:tcW w:type="dxa" w:w="19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Quote-and-build LinkedIn post; webinar panel theme on discovery as the bottleneck; sales narrative for discovery-led teams.</w:t>
            </w:r>
          </w:p>
        </w:tc>
        <w:tc>
          <w:tcPr>
            <w:tcW w:type="dxa" w:w="186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Winware operationalizes discovery at scale — exactly the capability SVPG says now matters most. Align with the most respected voice in product to lend credibility to the intelligence positioning.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q94mdhw94kbrxt80ljbza">
              <w:r>
                <w:rPr>
                  <w:rStyle w:val="Hyperlink"/>
                  <w:b/>
                  <w:bCs/>
                  <w:sz w:val="16"/>
                  <w:szCs w:val="16"/>
                </w:rPr>
                <w:t xml:space="preserve">monday.com June release: Vibe Office export, historical-data queries, Sidekick in Resource Planner</w:t>
              </w:r>
            </w:hyperlink>
          </w:p>
          <w:p>
            <w:r>
              <w:rPr>
                <w:i/>
                <w:iCs/>
                <w:color w:val="666666"/>
                <w:sz w:val="16"/>
                <w:szCs w:val="16"/>
              </w:rPr>
              <w:t xml:space="preserve">monday.com What's New / Release Notes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June 2026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monday's June updates extend its “Vibe” AI: one-click export of editable Word/PowerPoint/Excel from prompts, natural-language queries over historical board data to build trend charts and sprint-velocity apps, Sidekick added to Resource Planner, and user-selectable AI models. Builds on May's Vibe AI Notetaker (call transcription + CRM auto-fill). Continues monday's pivot to an “AI Work Platform.”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“AI product management,” “product management software” — present but horizontal; no PM-specific taxonomy or product context.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F0960"/>
                <w:sz w:val="22"/>
                <w:szCs w:val="22"/>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Competitive positioning memo; objection-handling note for monday-incumbent deals; blog: why generic AI work tools ≠ product intelligence.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monday produces generic outputs; Winware routes call/CRM signal into product decisions — themes tied to features, segments, and revenue. Depth over breadth: purpose-built Product Intelligence vs. a horizontal work OS.</w:t>
            </w:r>
          </w:p>
        </w:tc>
      </w:tr>
      <w:tr>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hyperlink w:history="1" r:id="rIdahworzrll2vzeqv_1u6vr">
              <w:r>
                <w:rPr>
                  <w:rStyle w:val="Hyperlink"/>
                  <w:b/>
                  <w:bCs/>
                  <w:sz w:val="16"/>
                  <w:szCs w:val="16"/>
                </w:rPr>
                <w:t xml:space="preserve">Productside: The AI Product Manager Skills Every PM Needs in 2026 (Hint: It's Not Just AI)</w:t>
              </w:r>
            </w:hyperlink>
          </w:p>
          <w:p>
            <w:r>
              <w:rPr>
                <w:i/>
                <w:iCs/>
                <w:color w:val="666666"/>
                <w:sz w:val="16"/>
                <w:szCs w:val="16"/>
              </w:rPr>
              <w:t xml:space="preserve">Productside</w:t>
            </w:r>
          </w:p>
        </w:tc>
        <w:tc>
          <w:tcPr>
            <w:tcW w:type="dxa" w:w="11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2026</w:t>
            </w:r>
          </w:p>
        </w:tc>
        <w:tc>
          <w:tcPr>
            <w:tcW w:type="dxa" w:w="23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Productside argues the PMs pulling ahead in 2026 aren't the most tool-fluent — they're the ones who kept their judgment sharp while others outsourced theirs. AI compresses the distance from idea to execution, making problem framing, strategy, and evidence more valuable, not less. Core PM skills remain the differentiator as AI handles execution.</w:t>
            </w:r>
          </w:p>
        </w:tc>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“AI product management,” “product led development” — substantive; practitioner framing.</w:t>
            </w:r>
          </w:p>
        </w:tc>
        <w:tc>
          <w:tcPr>
            <w:tcW w:type="dxa" w:w="7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pPr>
              <w:jc w:val="center"/>
            </w:pPr>
            <w:r>
              <w:rPr>
                <w:b/>
                <w:bCs/>
                <w:color w:val="888888"/>
                <w:sz w:val="22"/>
                <w:szCs w:val="22"/>
              </w:rPr>
              <w:t xml:space="preserve">3</w:t>
            </w:r>
          </w:p>
        </w:tc>
        <w:tc>
          <w:tcPr>
            <w:tcW w:type="dxa" w:w="19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Evergreen how-to/enablement blog; SEO content on AI PM skills; champion-enablement asset.</w:t>
            </w:r>
          </w:p>
        </w:tc>
        <w:tc>
          <w:tcPr>
            <w:tcW w:type="dxa" w:w="186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ProductPlan sharpens judgment with evidence — position the platform as the tool that keeps decisions grounded while AI accelerates execution.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zh6-smi-rx_zbguf_daf">
              <w:r>
                <w:rPr>
                  <w:rStyle w:val="Hyperlink"/>
                  <w:b/>
                  <w:bCs/>
                  <w:sz w:val="16"/>
                  <w:szCs w:val="16"/>
                </w:rPr>
                <w:t xml:space="preserve">Pragmatic Institute: Vibe Coding Is Changing the Game — Are Product Leaders Ready? (upcoming)</w:t>
              </w:r>
            </w:hyperlink>
          </w:p>
          <w:p>
            <w:r>
              <w:rPr>
                <w:i/>
                <w:iCs/>
                <w:color w:val="666666"/>
                <w:sz w:val="16"/>
                <w:szCs w:val="16"/>
              </w:rPr>
              <w:t xml:space="preserve">Pragmatic Institute (event, July 23,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Announced June 2026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An upcoming Pragmatic session frames vibe coding as compressing the build phase, shifting the constraint to deciding what's worth building. As prototyping gets near-free, the premium moves to discovery and prioritization. Reinforces the broader “discovery is the bottleneck” narrative running across the industry.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“product led development,” “AI product strategy” — emerging-signal; central to the session premise.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888888"/>
                <w:sz w:val="22"/>
                <w:szCs w:val="22"/>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Reactive LinkedIn post on “when building is cheap, intelligence is the edge”; webinar tie-in; thought-leadership byline.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When code is cheap, the differentiator is knowing which bets to make — ProductPlan's evidence-backed prioritization is the answer to the vibe-coding shift.</w:t>
            </w:r>
          </w:p>
        </w:tc>
      </w:tr>
      <w:tr>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hyperlink w:history="1" r:id="rIdqkxipy-iajcq_zmvapw9g">
              <w:r>
                <w:rPr>
                  <w:rStyle w:val="Hyperlink"/>
                  <w:b/>
                  <w:bCs/>
                  <w:sz w:val="16"/>
                  <w:szCs w:val="16"/>
                </w:rPr>
                <w:t xml:space="preserve">PTC unveils AI wave across the “Intelligent Product Lifecycle”</w:t>
              </w:r>
            </w:hyperlink>
          </w:p>
          <w:p>
            <w:r>
              <w:rPr>
                <w:i/>
                <w:iCs/>
                <w:color w:val="666666"/>
                <w:sz w:val="16"/>
                <w:szCs w:val="16"/>
              </w:rPr>
              <w:t xml:space="preserve">PTC / PR Newswire</w:t>
            </w:r>
          </w:p>
        </w:tc>
        <w:tc>
          <w:tcPr>
            <w:tcW w:type="dxa" w:w="11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June 10, 2026</w:t>
            </w:r>
          </w:p>
        </w:tc>
        <w:tc>
          <w:tcPr>
            <w:tcW w:type="dxa" w:w="23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PTC announced two new cross-portfolio products, a new AI platform, 12 AI agents, and 10 integrations advancing its “Intelligent Product Lifecycle” vision for manufacturers. Adjacent to ProductPlan's category (manufacturing PLM, not software roadmapping), but notable for how broadly “product intelligence” language is now being claimed across markets.</w:t>
            </w:r>
          </w:p>
        </w:tc>
        <w:tc>
          <w:tcPr>
            <w:tcW w:type="dxa" w:w="15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“product intelligence platform” — used in an adjacent (manufacturing) context; keyword-watch only.</w:t>
            </w:r>
          </w:p>
        </w:tc>
        <w:tc>
          <w:tcPr>
            <w:tcW w:type="dxa" w:w="7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pPr>
              <w:jc w:val="center"/>
            </w:pPr>
            <w:r>
              <w:rPr>
                <w:b/>
                <w:bCs/>
                <w:color w:val="888888"/>
                <w:sz w:val="22"/>
                <w:szCs w:val="22"/>
              </w:rPr>
              <w:t xml:space="preserve">2</w:t>
            </w:r>
          </w:p>
        </w:tc>
        <w:tc>
          <w:tcPr>
            <w:tcW w:type="dxa" w:w="190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Keyword-monitoring note; watch for category-language dilution; no immediate content action.</w:t>
            </w:r>
          </w:p>
        </w:tc>
        <w:tc>
          <w:tcPr>
            <w:tcW w:type="dxa" w:w="1860"/>
            <w:tcBorders>
              <w:top w:val="single" w:color="CCCCCC" w:sz="1"/>
              <w:left w:val="single" w:color="CCCCCC" w:sz="1"/>
              <w:bottom w:val="single" w:color="CCCCCC" w:sz="1"/>
              <w:right w:val="single" w:color="CCCCCC" w:sz="1"/>
            </w:tcBorders>
            <w:shd w:fill="F4F2FB" w:val="clear"/>
            <w:tcMar>
              <w:top w:type="dxa" w:w="80"/>
              <w:left w:type="dxa" w:w="120"/>
              <w:bottom w:type="dxa" w:w="80"/>
              <w:right w:type="dxa" w:w="120"/>
            </w:tcMar>
          </w:tcPr>
          <w:p>
            <w:r>
              <w:rPr>
                <w:sz w:val="16"/>
                <w:szCs w:val="16"/>
              </w:rPr>
              <w:t xml:space="preserve">Low direct relevance, but reinforces that “intelligence” is becoming the default frame — strengthens the case for ProductPlan to own “product intelligence” in the PM software category specifically.</w:t>
            </w:r>
          </w:p>
        </w:tc>
      </w:tr>
    </w:tbl>
    <w:p>
      <w:pPr>
        <w:pStyle w:val="Heading2"/>
        <w:spacing w:before="240"/>
      </w:pPr>
      <w:r>
        <w:t xml:space="preserve">Recommended Next Actions</w:t>
      </w:r>
    </w:p>
    <w:p>
      <w:pPr>
        <w:pStyle w:val="ListParagraph"/>
        <w:numPr>
          <w:ilvl w:val="0"/>
          <w:numId w:val="2"/>
        </w:numPr>
      </w:pPr>
      <w:r>
        <w:rPr>
          <w:sz w:val="20"/>
          <w:szCs w:val="20"/>
        </w:rPr>
        <w:t xml:space="preserve">Update the Productboard battlecard to reflect Spark GA (no longer beta). Lead objection-handling with Winware's signal breadth (Gong + surveys + CRM) and source-quote traceability vs. Spark's largely in-app feedback base.</w:t>
      </w:r>
    </w:p>
    <w:p>
      <w:pPr>
        <w:pStyle w:val="ListParagraph"/>
        <w:numPr>
          <w:ilvl w:val="0"/>
          <w:numId w:val="2"/>
        </w:numPr>
      </w:pPr>
      <w:r>
        <w:rPr>
          <w:sz w:val="20"/>
          <w:szCs w:val="20"/>
        </w:rPr>
        <w:t xml:space="preserve">Ship the “evidence gap” campaign now. Pair the Airtable report (31% confident; 1 in 5 roadmaps derailed) with Atlassian's State of Product 2026 stats into one carousel + gated asset for Director+ PMs.</w:t>
      </w:r>
    </w:p>
    <w:p>
      <w:pPr>
        <w:pStyle w:val="ListParagraph"/>
        <w:numPr>
          <w:ilvl w:val="0"/>
          <w:numId w:val="2"/>
        </w:numPr>
      </w:pPr>
      <w:r>
        <w:rPr>
          <w:sz w:val="20"/>
          <w:szCs w:val="20"/>
        </w:rPr>
        <w:t xml:space="preserve">Engage the Pragmatic Institute “AI agents in the product lifecycle” conversation — comment, pitch a follow-up byline/webinar, and claim Winware as the agentic synthesis layer the curriculum describes.</w:t>
      </w:r>
    </w:p>
    <w:p>
      <w:pPr>
        <w:pStyle w:val="ListParagraph"/>
        <w:numPr>
          <w:ilvl w:val="0"/>
          <w:numId w:val="2"/>
        </w:numPr>
      </w:pPr>
      <w:r>
        <w:rPr>
          <w:sz w:val="20"/>
          <w:szCs w:val="20"/>
        </w:rPr>
        <w:t xml:space="preserve">Publish a “traceable synthesis” AEO/comparison page targeting “customer intelligence platform,” making four-signal coverage + source-quote traceability the buyer rubric before competitors do.</w:t>
      </w:r>
    </w:p>
    <w:p>
      <w:pPr>
        <w:pStyle w:val="ListParagraph"/>
        <w:numPr>
          <w:ilvl w:val="0"/>
          <w:numId w:val="2"/>
        </w:numPr>
      </w:pPr>
      <w:r>
        <w:rPr>
          <w:sz w:val="20"/>
          <w:szCs w:val="20"/>
        </w:rPr>
        <w:t xml:space="preserve">Keep monitoring: Productboard Spark post-GA roadmap, Atlassian JPD Enterprise GA + Pendo integration, monday Vibe expansion, and keywords “product intelligence platform” / “customer intelligence AI.”</w:t>
      </w:r>
    </w:p>
    <w:p>
      <w:pPr>
        <w:spacing w:before="200"/>
      </w:pPr>
      <w:r>
        <w:rPr>
          <w:i/>
          <w:iCs/>
          <w:color w:val="888888"/>
          <w:sz w:val="16"/>
          <w:szCs w:val="16"/>
        </w:rPr>
        <w:t xml:space="preserve">Note: Generated autonomously as part of the scheduled weekly run. Some items reflect ongoing competitor rollouts surfacing within the June 22–29 window; relevance scores are relative to ProductPlan's ICP, positioning, and competitor set.</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F0960"/>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B7770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c_5r0y8wd3c9aqrgrs_9" Type="http://schemas.openxmlformats.org/officeDocument/2006/relationships/hyperlink" Target="https://support.productboard.com/hc/en-us/articles/44571897288723-Productboard-Spark" TargetMode="External"/><Relationship Id="rId3eedhsatc_4xgk7qdrtmi" Type="http://schemas.openxmlformats.org/officeDocument/2006/relationships/hyperlink" Target="https://www.atlassian.com/blog/company-news/introducing-product-collection" TargetMode="External"/><Relationship Id="rId1-96dmbfycyodfeocpnly" Type="http://schemas.openxmlformats.org/officeDocument/2006/relationships/hyperlink" Target="https://www.productcoalition.com/" TargetMode="External"/><Relationship Id="rIdh3zb96b-eiwgznf-szzj-" Type="http://schemas.openxmlformats.org/officeDocument/2006/relationships/hyperlink" Target="https://www.pragmaticinstitute.com/resources/events/" TargetMode="External"/><Relationship Id="rIduad0llmmwchmpvdrvmdev" Type="http://schemas.openxmlformats.org/officeDocument/2006/relationships/hyperlink" Target="https://www.svpg.com/product-coaching-and-ai/" TargetMode="External"/><Relationship Id="rIdq94mdhw94kbrxt80ljbza" Type="http://schemas.openxmlformats.org/officeDocument/2006/relationships/hyperlink" Target="https://monday.com/whats-new" TargetMode="External"/><Relationship Id="rIdahworzrll2vzeqv_1u6vr" Type="http://schemas.openxmlformats.org/officeDocument/2006/relationships/hyperlink" Target="https://productside.com/top-ai-product-manager-skills-in-2026/" TargetMode="External"/><Relationship Id="rIdyzh6-smi-rx_zbguf_daf" Type="http://schemas.openxmlformats.org/officeDocument/2006/relationships/hyperlink" Target="https://www.pragmaticinstitute.com/resources/events/" TargetMode="External"/><Relationship Id="rIdqkxipy-iajcq_zmvapw9g" Type="http://schemas.openxmlformats.org/officeDocument/2006/relationships/hyperlink" Target="https://www.ptc.com/en/news/2026/ptc-unveils-a-wave-of-product-innovation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2026-06-29T15:04:24.950Z</dcterms:created>
  <dcterms:modified xsi:type="dcterms:W3CDTF">2026-06-29T15:04:24.951Z</dcterms:modified>
</cp:coreProperties>
</file>

<file path=docProps/custom.xml><?xml version="1.0" encoding="utf-8"?>
<Properties xmlns="http://schemas.openxmlformats.org/officeDocument/2006/custom-properties" xmlns:vt="http://schemas.openxmlformats.org/officeDocument/2006/docPropsVTypes"/>
</file>