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40"/>
          <w:szCs w:val="40"/>
        </w:rPr>
        <w:t xml:space="preserve">ProductPlan — Weekly Market Intelligence</w:t>
      </w:r>
    </w:p>
    <w:p>
      <w:pPr>
        <w:spacing w:after="200"/>
      </w:pPr>
      <w:r>
        <w:rPr>
          <w:color w:val="555555"/>
          <w:sz w:val="20"/>
          <w:szCs w:val="20"/>
        </w:rPr>
        <w:t xml:space="preserve">Generated: June 22, 2026</w:t>
      </w:r>
      <w:r>
        <w:rPr>
          <w:color w:val="555555"/>
          <w:sz w:val="20"/>
          <w:szCs w:val="20"/>
        </w:rPr>
        <w:t xml:space="preserve">    |    Next run: June 29, 2026</w:t>
      </w:r>
      <w:r>
        <w:rPr>
          <w:color w:val="555555"/>
          <w:sz w:val="20"/>
          <w:szCs w:val="20"/>
        </w:rPr>
        <w:t xml:space="preserve">    |    Window: June 15–22, 2026</w:t>
      </w:r>
    </w:p>
    <w:p>
      <w:pPr>
        <w:pStyle w:val="Heading1"/>
      </w:pPr>
      <w:r>
        <w:t xml:space="preserve">Executive Note</w:t>
      </w:r>
    </w:p>
    <w:p>
      <w:pPr>
        <w:spacing w:after="100"/>
      </w:pPr>
      <w:r>
        <w:rPr>
          <w:sz w:val="21"/>
          <w:szCs w:val="21"/>
        </w:rPr>
        <w:t xml:space="preserve">Competitors converged hard on ProductPlan's lane this week. The three biggest takeaways:</w:t>
      </w:r>
    </w:p>
    <w:p>
      <w:pPr>
        <w:pStyle w:val="ListParagraph"/>
        <w:numPr>
          <w:ilvl w:val="0"/>
          <w:numId w:val="2"/>
        </w:numPr>
      </w:pPr>
      <w:r>
        <w:rPr>
          <w:b/>
          <w:bCs/>
        </w:rPr>
        <w:t xml:space="preserve">The suite players are now selling “intelligence,” not just tools. </w:t>
      </w:r>
      <w:r>
        <w:t xml:space="preserve">Atlassian's Product Collection (agentic roadmapping via Rovo), Productboard Spark (post-launch evaluation + MCP), and Monday's Vibe AI Notetaker all shipped customer-signal-to-decision features in the same week. Winware's call/survey/CRM synthesis is now table stakes to message against, not a novelty.</w:t>
      </w:r>
    </w:p>
    <w:p>
      <w:pPr>
        <w:pStyle w:val="ListParagraph"/>
        <w:numPr>
          <w:ilvl w:val="0"/>
          <w:numId w:val="2"/>
        </w:numPr>
      </w:pPr>
      <w:r>
        <w:rPr>
          <w:b/>
          <w:bCs/>
        </w:rPr>
        <w:t xml:space="preserve">Atlassian's own data sells ProductPlan's category. </w:t>
      </w:r>
      <w:r>
        <w:t xml:space="preserve">State of Product 2026 reports 84% of teams fear failure and only 31% prioritize evidence over opinion — a quantified demand signal for the “evidence behind every decision” narrative.</w:t>
      </w:r>
    </w:p>
    <w:p>
      <w:pPr>
        <w:pStyle w:val="ListParagraph"/>
        <w:numPr>
          <w:ilvl w:val="0"/>
          <w:numId w:val="2"/>
        </w:numPr>
        <w:spacing w:after="200"/>
      </w:pPr>
      <w:r>
        <w:rPr>
          <w:b/>
          <w:bCs/>
        </w:rPr>
        <w:t xml:space="preserve">“Synthesis quality + traceability” is becoming the buying criterion. </w:t>
      </w:r>
      <w:r>
        <w:t xml:space="preserve">Analyst/vendor guides (Enterpret) and SVPG both argue discovery and source-traceable synthesis are the new moat — exactly where Winware should plant ProductPlan's flag.</w:t>
      </w:r>
    </w:p>
    <w:p>
      <w:pPr>
        <w:pStyle w:val="Heading1"/>
      </w:pPr>
      <w:r>
        <w:t xml:space="preserve">Research Table (sorted by relevance)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2960"/>
        <w:gridCol w:w="2200"/>
        <w:gridCol w:w="700"/>
        <w:gridCol w:w="1600"/>
        <w:gridCol w:w="1600"/>
      </w:tblGrid>
      <w:tr>
        <w:trPr>
          <w:tblHeader/>
        </w:trPr>
        <w:tc>
          <w:tcPr>
            <w:tcW w:type="dxa" w:w="3000"/>
            <w:tcBorders>
              <w:top w:val="single" w:color="B0B0B0" w:sz="1"/>
              <w:left w:val="single" w:color="B0B0B0" w:sz="1"/>
              <w:bottom w:val="single" w:color="B0B0B0" w:sz="1"/>
              <w:right w:val="single" w:color="B0B0B0" w:sz="1"/>
            </w:tcBorders>
            <w:shd w:fill="1F3864" w:val="clear"/>
            <w:tcMar>
              <w:top w:type="dxa" w:w="80"/>
              <w:left w:type="dxa" w:w="100"/>
              <w:bottom w:type="dxa" w:w="80"/>
              <w:right w:type="dxa" w:w="100"/>
            </w:tcMar>
          </w:tcPr>
          <w:p>
            <w:r>
              <w:rPr>
                <w:b/>
                <w:bCs/>
                <w:color w:val="FFFFFF"/>
                <w:sz w:val="18"/>
                <w:szCs w:val="18"/>
              </w:rPr>
              <w:t xml:space="preserve">Headline / Source</w:t>
            </w:r>
          </w:p>
        </w:tc>
        <w:tc>
          <w:tcPr>
            <w:tcW w:type="dxa" w:w="900"/>
            <w:tcBorders>
              <w:top w:val="single" w:color="B0B0B0" w:sz="1"/>
              <w:left w:val="single" w:color="B0B0B0" w:sz="1"/>
              <w:bottom w:val="single" w:color="B0B0B0" w:sz="1"/>
              <w:right w:val="single" w:color="B0B0B0" w:sz="1"/>
            </w:tcBorders>
            <w:shd w:fill="1F3864" w:val="clear"/>
            <w:tcMar>
              <w:top w:type="dxa" w:w="80"/>
              <w:left w:type="dxa" w:w="100"/>
              <w:bottom w:type="dxa" w:w="80"/>
              <w:right w:type="dxa" w:w="100"/>
            </w:tcMar>
          </w:tcPr>
          <w:p>
            <w:r>
              <w:rPr>
                <w:b/>
                <w:bCs/>
                <w:color w:val="FFFFFF"/>
                <w:sz w:val="18"/>
                <w:szCs w:val="18"/>
              </w:rPr>
              <w:t xml:space="preserve">Date</w:t>
            </w:r>
          </w:p>
        </w:tc>
        <w:tc>
          <w:tcPr>
            <w:tcW w:type="dxa" w:w="2960"/>
            <w:tcBorders>
              <w:top w:val="single" w:color="B0B0B0" w:sz="1"/>
              <w:left w:val="single" w:color="B0B0B0" w:sz="1"/>
              <w:bottom w:val="single" w:color="B0B0B0" w:sz="1"/>
              <w:right w:val="single" w:color="B0B0B0" w:sz="1"/>
            </w:tcBorders>
            <w:shd w:fill="1F3864" w:val="clear"/>
            <w:tcMar>
              <w:top w:type="dxa" w:w="80"/>
              <w:left w:type="dxa" w:w="100"/>
              <w:bottom w:type="dxa" w:w="80"/>
              <w:right w:type="dxa" w:w="100"/>
            </w:tcMar>
          </w:tcPr>
          <w:p>
            <w:r>
              <w:rPr>
                <w:b/>
                <w:bCs/>
                <w:color w:val="FFFFFF"/>
                <w:sz w:val="18"/>
                <w:szCs w:val="18"/>
              </w:rPr>
              <w:t xml:space="preserve">Summary</w:t>
            </w:r>
          </w:p>
        </w:tc>
        <w:tc>
          <w:tcPr>
            <w:tcW w:type="dxa" w:w="2200"/>
            <w:tcBorders>
              <w:top w:val="single" w:color="B0B0B0" w:sz="1"/>
              <w:left w:val="single" w:color="B0B0B0" w:sz="1"/>
              <w:bottom w:val="single" w:color="B0B0B0" w:sz="1"/>
              <w:right w:val="single" w:color="B0B0B0" w:sz="1"/>
            </w:tcBorders>
            <w:shd w:fill="1F3864" w:val="clear"/>
            <w:tcMar>
              <w:top w:type="dxa" w:w="80"/>
              <w:left w:type="dxa" w:w="100"/>
              <w:bottom w:type="dxa" w:w="80"/>
              <w:right w:type="dxa" w:w="100"/>
            </w:tcMar>
          </w:tcPr>
          <w:p>
            <w:r>
              <w:rPr>
                <w:b/>
                <w:bCs/>
                <w:color w:val="FFFFFF"/>
                <w:sz w:val="18"/>
                <w:szCs w:val="18"/>
              </w:rPr>
              <w:t xml:space="preserve">Keywords &amp; Context</w:t>
            </w:r>
          </w:p>
        </w:tc>
        <w:tc>
          <w:tcPr>
            <w:tcW w:type="dxa" w:w="700"/>
            <w:tcBorders>
              <w:top w:val="single" w:color="B0B0B0" w:sz="1"/>
              <w:left w:val="single" w:color="B0B0B0" w:sz="1"/>
              <w:bottom w:val="single" w:color="B0B0B0" w:sz="1"/>
              <w:right w:val="single" w:color="B0B0B0" w:sz="1"/>
            </w:tcBorders>
            <w:shd w:fill="1F3864" w:val="clear"/>
            <w:tcMar>
              <w:top w:type="dxa" w:w="80"/>
              <w:left w:type="dxa" w:w="100"/>
              <w:bottom w:type="dxa" w:w="80"/>
              <w:right w:type="dxa" w:w="100"/>
            </w:tcMar>
          </w:tcPr>
          <w:p>
            <w:r>
              <w:rPr>
                <w:b/>
                <w:bCs/>
                <w:color w:val="FFFFFF"/>
                <w:sz w:val="18"/>
                <w:szCs w:val="18"/>
              </w:rPr>
              <w:t xml:space="preserve">Score</w:t>
            </w:r>
          </w:p>
        </w:tc>
        <w:tc>
          <w:tcPr>
            <w:tcW w:type="dxa" w:w="1600"/>
            <w:tcBorders>
              <w:top w:val="single" w:color="B0B0B0" w:sz="1"/>
              <w:left w:val="single" w:color="B0B0B0" w:sz="1"/>
              <w:bottom w:val="single" w:color="B0B0B0" w:sz="1"/>
              <w:right w:val="single" w:color="B0B0B0" w:sz="1"/>
            </w:tcBorders>
            <w:shd w:fill="1F3864" w:val="clear"/>
            <w:tcMar>
              <w:top w:type="dxa" w:w="80"/>
              <w:left w:type="dxa" w:w="100"/>
              <w:bottom w:type="dxa" w:w="80"/>
              <w:right w:type="dxa" w:w="100"/>
            </w:tcMar>
          </w:tcPr>
          <w:p>
            <w:r>
              <w:rPr>
                <w:b/>
                <w:bCs/>
                <w:color w:val="FFFFFF"/>
                <w:sz w:val="18"/>
                <w:szCs w:val="18"/>
              </w:rPr>
              <w:t xml:space="preserve">Engagement Angle</w:t>
            </w:r>
          </w:p>
        </w:tc>
        <w:tc>
          <w:tcPr>
            <w:tcW w:type="dxa" w:w="1600"/>
            <w:tcBorders>
              <w:top w:val="single" w:color="B0B0B0" w:sz="1"/>
              <w:left w:val="single" w:color="B0B0B0" w:sz="1"/>
              <w:bottom w:val="single" w:color="B0B0B0" w:sz="1"/>
              <w:right w:val="single" w:color="B0B0B0" w:sz="1"/>
            </w:tcBorders>
            <w:shd w:fill="1F3864" w:val="clear"/>
            <w:tcMar>
              <w:top w:type="dxa" w:w="80"/>
              <w:left w:type="dxa" w:w="100"/>
              <w:bottom w:type="dxa" w:w="80"/>
              <w:right w:type="dxa" w:w="100"/>
            </w:tcMar>
          </w:tcPr>
          <w:p>
            <w:r>
              <w:rPr>
                <w:b/>
                <w:bCs/>
                <w:color w:val="FFFFFF"/>
                <w:sz w:val="18"/>
                <w:szCs w:val="18"/>
              </w:rPr>
              <w:t xml:space="preserve">ProductPlan Fit</w:t>
            </w:r>
          </w:p>
        </w:tc>
      </w:tr>
      <w:tr>
        <w:tc>
          <w:tcPr>
            <w:tcW w:type="dxa" w:w="30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17"/>
                <w:szCs w:val="17"/>
              </w:rPr>
              <w:t xml:space="preserve">Productboard Spark ships post-launch evaluation, MCP for coding agents, and inline AI feature briefs</w:t>
            </w:r>
          </w:p>
          <w:p>
            <w:r>
              <w:rPr>
                <w:i/>
                <w:iCs/>
                <w:color w:val="555555"/>
                <w:sz w:val="16"/>
                <w:szCs w:val="16"/>
              </w:rPr>
              <w:t xml:space="preserve">Productboard Release Notes / Support</w:t>
            </w:r>
          </w:p>
          <w:p>
            <w:hyperlink w:history="1" r:id="rId4vs3pzqat3ti2inpsiy_j">
              <w:r>
                <w:rPr>
                  <w:rStyle w:val="Hyperlink"/>
                  <w:sz w:val="16"/>
                  <w:szCs w:val="16"/>
                </w:rPr>
                <w:t xml:space="preserve">Open article</w:t>
              </w:r>
            </w:hyperlink>
          </w:p>
        </w:tc>
        <w:tc>
          <w:tcPr>
            <w:tcW w:type="dxa" w:w="9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June 2026</w:t>
            </w:r>
          </w:p>
        </w:tc>
        <w:tc>
          <w:tcPr>
            <w:tcW w:type="dxa" w:w="296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Productboard's AI assistant, Spark, added a guided /post-launch-evaluation flow that reviews target metrics and compares pre/post-launch feedback. Teams can now connect coding agents to Productboard via MCP to read specs directly, plus generate feature briefs, success metrics, and acceptance criteria inline with AI. A dedicated Resources tab now links docs to initiatives and features.</w:t>
            </w:r>
          </w:p>
        </w:tc>
        <w:tc>
          <w:tcPr>
            <w:tcW w:type="dxa" w:w="22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"AI product management", customer insights, product intelligence — central. Spark closes the loop from feedback synthesis to post-launch measurement, the same continuous-intelligence story ProductPlan is telling.</w:t>
            </w:r>
          </w:p>
        </w:tc>
        <w:tc>
          <w:tcPr>
            <w:tcW w:type="dxa" w:w="7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20"/>
                <w:szCs w:val="20"/>
              </w:rPr>
              <w:t xml:space="preserve">5/5</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Sales battlecard refresh; LinkedIn POV post on "closing the build-measure-learn loop"; competitive teardown comparing Spark's post-launch eval to ProductPlan + Winware evidence trail.</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Direct competitor moving into ProductPlan's exact lane (AI synthesis + evidence-backed decisions). ProductPlan's differentiation: Winware ingests Gong calls, surveys, and CRM signal — broader source coverage than Spark's in-app feedback. Lead with traceability of every insight to a source quote.</w:t>
            </w:r>
          </w:p>
        </w:tc>
      </w:tr>
      <w:tr>
        <w:tc>
          <w:tcPr>
            <w:tcW w:type="dxa" w:w="30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bCs/>
                <w:sz w:val="17"/>
                <w:szCs w:val="17"/>
              </w:rPr>
              <w:t xml:space="preserve">Atlassian rolls out agentic roadmapping in Product Collection (Rovo)</w:t>
            </w:r>
          </w:p>
          <w:p>
            <w:r>
              <w:rPr>
                <w:i/>
                <w:iCs/>
                <w:color w:val="555555"/>
                <w:sz w:val="16"/>
                <w:szCs w:val="16"/>
              </w:rPr>
              <w:t xml:space="preserve">Inside Atlassian Blog</w:t>
            </w:r>
          </w:p>
          <w:p>
            <w:hyperlink w:history="1" r:id="rIdspg11yzs2enieyygcy9hg">
              <w:r>
                <w:rPr>
                  <w:rStyle w:val="Hyperlink"/>
                  <w:sz w:val="16"/>
                  <w:szCs w:val="16"/>
                </w:rPr>
                <w:t xml:space="preserve">Open article</w:t>
              </w:r>
            </w:hyperlink>
          </w:p>
        </w:tc>
        <w:tc>
          <w:tcPr>
            <w:tcW w:type="dxa" w:w="9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June 2026 (post Team '26)</w:t>
            </w:r>
          </w:p>
        </w:tc>
        <w:tc>
          <w:tcPr>
            <w:tcW w:type="dxa" w:w="296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Atlassian positioned Product Collection as an AI-powered product operating system that captures feedback at scale, turns it into prioritized insights, and links strategy to delivery in Jira. Rovo now generates, refines, and evolves roadmaps as goals shift, surfacing trade-offs and suggesting priorities. Atlassian frames it as a "living roadmap" that adapts to changing conditions.</w:t>
            </w:r>
          </w:p>
        </w:tc>
        <w:tc>
          <w:tcPr>
            <w:tcW w:type="dxa" w:w="22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"product roadmapping software", "product prioritization", "AI product management" — central. Atlassian is explicitly attacking the prioritization + living-roadmap problem ProductPlan owns.</w:t>
            </w:r>
          </w:p>
        </w:tc>
        <w:tc>
          <w:tcPr>
            <w:tcW w:type="dxa" w:w="7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bCs/>
                <w:sz w:val="20"/>
                <w:szCs w:val="20"/>
              </w:rPr>
              <w:t xml:space="preserve">5/5</w:t>
            </w:r>
          </w:p>
        </w:tc>
        <w:tc>
          <w:tcPr>
            <w:tcW w:type="dxa" w:w="16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Executive briefing on platform-bundling threat; sales talking point on best-of-breed vs. suite; LinkedIn post on why agentic roadmapping needs trustworthy customer signal, not just Jira issue data.</w:t>
            </w:r>
          </w:p>
        </w:tc>
        <w:tc>
          <w:tcPr>
            <w:tcW w:type="dxa" w:w="16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Atlassian is the biggest competitor AND partner. Counter-position: Rovo reasons over delivery/engineering data; ProductPlan + Winware reason over customer and market signal (calls, surveys, CRM). Frame ProductPlan as the intelligence layer that feeds better decisions into any delivery tool, including Jira.</w:t>
            </w:r>
          </w:p>
        </w:tc>
      </w:tr>
      <w:tr>
        <w:tc>
          <w:tcPr>
            <w:tcW w:type="dxa" w:w="30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17"/>
                <w:szCs w:val="17"/>
              </w:rPr>
              <w:t xml:space="preserve">Monday.com launches Vibe AI Notetaker — call transcription, action items, and CRM auto-fill</w:t>
            </w:r>
          </w:p>
          <w:p>
            <w:r>
              <w:rPr>
                <w:i/>
                <w:iCs/>
                <w:color w:val="555555"/>
                <w:sz w:val="16"/>
                <w:szCs w:val="16"/>
              </w:rPr>
              <w:t xml:space="preserve">monday.com What's New / IR</w:t>
            </w:r>
          </w:p>
          <w:p>
            <w:hyperlink w:history="1" r:id="rId3tfpgwndqcwftztcnccdj">
              <w:r>
                <w:rPr>
                  <w:rStyle w:val="Hyperlink"/>
                  <w:sz w:val="16"/>
                  <w:szCs w:val="16"/>
                </w:rPr>
                <w:t xml:space="preserve">Open article</w:t>
              </w:r>
            </w:hyperlink>
          </w:p>
        </w:tc>
        <w:tc>
          <w:tcPr>
            <w:tcW w:type="dxa" w:w="9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June 2026</w:t>
            </w:r>
          </w:p>
        </w:tc>
        <w:tc>
          <w:tcPr>
            <w:tcW w:type="dxa" w:w="296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Monday added the Vibe AI Notetaker, which surfaces action items, queries transcripts, and auto-fills CRM fields after every call. New Sidekick features generate reporting boards and charts from natural-language prompts. The release deepens Monday's pivot from work management to an "AI Work Platform."</w:t>
            </w:r>
          </w:p>
        </w:tc>
        <w:tc>
          <w:tcPr>
            <w:tcW w:type="dxa" w:w="22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"AI product management", customer/sales call synthesis — central. The call-to-structured-data workflow directly overlaps Winware's core capability.</w:t>
            </w:r>
          </w:p>
        </w:tc>
        <w:tc>
          <w:tcPr>
            <w:tcW w:type="dxa" w:w="7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20"/>
                <w:szCs w:val="20"/>
              </w:rPr>
              <w:t xml:space="preserve">5/5</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Competitive positioning memo; sales objection-handling note for deals where Monday is the incumbent; blog on why generic call notetakers ≠ product intelligence.</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Monday's notetaker is a horizontal productivity feature; Winware does the same call/CRM synthesis but routes it into product decisions (prioritization, roadmap evidence). ProductPlan's edge is product-context: themes tie to features, segments, and revenue — not just generic action items.</w:t>
            </w:r>
          </w:p>
        </w:tc>
      </w:tr>
      <w:tr>
        <w:tc>
          <w:tcPr>
            <w:tcW w:type="dxa" w:w="30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bCs/>
                <w:sz w:val="17"/>
                <w:szCs w:val="17"/>
              </w:rPr>
              <w:t xml:space="preserve">Four things we learned from Atlassian's State of Product 2026</w:t>
            </w:r>
          </w:p>
          <w:p>
            <w:r>
              <w:rPr>
                <w:i/>
                <w:iCs/>
                <w:color w:val="555555"/>
                <w:sz w:val="16"/>
                <w:szCs w:val="16"/>
              </w:rPr>
              <w:t xml:space="preserve">Mind the Product</w:t>
            </w:r>
          </w:p>
          <w:p>
            <w:hyperlink w:history="1" r:id="rIdffoxutdiuevzctxlvjwmx">
              <w:r>
                <w:rPr>
                  <w:rStyle w:val="Hyperlink"/>
                  <w:sz w:val="16"/>
                  <w:szCs w:val="16"/>
                </w:rPr>
                <w:t xml:space="preserve">Open article</w:t>
              </w:r>
            </w:hyperlink>
          </w:p>
        </w:tc>
        <w:tc>
          <w:tcPr>
            <w:tcW w:type="dxa" w:w="9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June 2026</w:t>
            </w:r>
          </w:p>
        </w:tc>
        <w:tc>
          <w:tcPr>
            <w:tcW w:type="dxa" w:w="296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84% of product teams fear their work won't succeed, and 40% report limited or no experimentation. Only 31% of organizations prioritize rapid experimentation, with many decisions still based on opinion or leadership preference rather than data and research. 80% of teams still don't involve engineers during ideation or roadmap creation.</w:t>
            </w:r>
          </w:p>
        </w:tc>
        <w:tc>
          <w:tcPr>
            <w:tcW w:type="dxa" w:w="22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customer insights, data-driven prioritization, product intelligence — central. The report quantifies ProductPlan's core ICP pain point: decisions made without evidence.</w:t>
            </w:r>
          </w:p>
        </w:tc>
        <w:tc>
          <w:tcPr>
            <w:tcW w:type="dxa" w:w="7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bCs/>
                <w:sz w:val="20"/>
                <w:szCs w:val="20"/>
              </w:rPr>
              <w:t xml:space="preserve">5/5</w:t>
            </w:r>
          </w:p>
        </w:tc>
        <w:tc>
          <w:tcPr>
            <w:tcW w:type="dxa" w:w="16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Anchor stat for a LinkedIn carousel and a webinar; gated content response ("3 in 4 product decisions aren't backed by evidence — here's how to fix it"); email nurture hook.</w:t>
            </w:r>
          </w:p>
        </w:tc>
        <w:tc>
          <w:tcPr>
            <w:tcW w:type="dxa" w:w="16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This is the demand-creation gift of the week. ProductPlan's entire Product Intelligence narrative answers the "opinions over evidence" gap. Use Atlassian's own data to sell the category ProductPlan defines — every claim traceable to customer signal.</w:t>
            </w:r>
          </w:p>
        </w:tc>
      </w:tr>
      <w:tr>
        <w:tc>
          <w:tcPr>
            <w:tcW w:type="dxa" w:w="30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17"/>
                <w:szCs w:val="17"/>
              </w:rPr>
              <w:t xml:space="preserve">Customer Intelligence AI for Product Managers: 5 Platforms Evaluated for 2026</w:t>
            </w:r>
          </w:p>
          <w:p>
            <w:r>
              <w:rPr>
                <w:i/>
                <w:iCs/>
                <w:color w:val="555555"/>
                <w:sz w:val="16"/>
                <w:szCs w:val="16"/>
              </w:rPr>
              <w:t xml:space="preserve">Enterpret</w:t>
            </w:r>
          </w:p>
          <w:p>
            <w:hyperlink w:history="1" r:id="rIdpp-0dqtmjax55gysut59q">
              <w:r>
                <w:rPr>
                  <w:rStyle w:val="Hyperlink"/>
                  <w:sz w:val="16"/>
                  <w:szCs w:val="16"/>
                </w:rPr>
                <w:t xml:space="preserve">Open article</w:t>
              </w:r>
            </w:hyperlink>
          </w:p>
        </w:tc>
        <w:tc>
          <w:tcPr>
            <w:tcW w:type="dxa" w:w="9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2026</w:t>
            </w:r>
          </w:p>
        </w:tc>
        <w:tc>
          <w:tcPr>
            <w:tcW w:type="dxa" w:w="296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The guide argues the new competitive moat in customer insights is synthesis quality — turning 500 conversations into a credible insight in hours, with every claim traceable to a source quote. It maps four signal sources: qualitative voice, quantitative surveys, product behavior, and conversation intelligence. Buyers are consolidating fragmented feedback stacks into unified intelligence systems.</w:t>
            </w:r>
          </w:p>
        </w:tc>
        <w:tc>
          <w:tcPr>
            <w:tcW w:type="dxa" w:w="22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"product intelligence platform", customer insights synthesis — central. Defines the exact buying criteria (synthesis quality, traceability) ProductPlan should own.</w:t>
            </w:r>
          </w:p>
        </w:tc>
        <w:tc>
          <w:tcPr>
            <w:tcW w:type="dxa" w:w="7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20"/>
                <w:szCs w:val="20"/>
              </w:rPr>
              <w:t xml:space="preserve">4/5</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Buyer's-guide-style blog or comparison page targeting the "synthesis quality" criterion; SEO/AEO play on "customer intelligence platform"; sales one-pager on the four signal sources.</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Validates the category and the buying criteria. Winware spans three of the four signal sources (voice, surveys, conversation intelligence via Gong); pair with product behavior integrations to claim full coverage. Make "traceable to a source quote" a headline proof point.</w:t>
            </w:r>
          </w:p>
        </w:tc>
      </w:tr>
      <w:tr>
        <w:tc>
          <w:tcPr>
            <w:tcW w:type="dxa" w:w="30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bCs/>
                <w:sz w:val="17"/>
                <w:szCs w:val="17"/>
              </w:rPr>
              <w:t xml:space="preserve">The 2026 AI product strategy guide: plan, budget, and build without buying the hype</w:t>
            </w:r>
          </w:p>
          <w:p>
            <w:r>
              <w:rPr>
                <w:i/>
                <w:iCs/>
                <w:color w:val="555555"/>
                <w:sz w:val="16"/>
                <w:szCs w:val="16"/>
              </w:rPr>
              <w:t xml:space="preserve">Mind the Product</w:t>
            </w:r>
          </w:p>
          <w:p>
            <w:hyperlink w:history="1" r:id="rId87xelz3wj8wig408hfzdq">
              <w:r>
                <w:rPr>
                  <w:rStyle w:val="Hyperlink"/>
                  <w:sz w:val="16"/>
                  <w:szCs w:val="16"/>
                </w:rPr>
                <w:t xml:space="preserve">Open article</w:t>
              </w:r>
            </w:hyperlink>
          </w:p>
        </w:tc>
        <w:tc>
          <w:tcPr>
            <w:tcW w:type="dxa" w:w="9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2026</w:t>
            </w:r>
          </w:p>
        </w:tc>
        <w:tc>
          <w:tcPr>
            <w:tcW w:type="dxa" w:w="296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The piece argues the industry is shifting from AI experimentation (2023–24) into an ROI phase, urging leaders to pull AI out of the generic R&amp;D bucket and build an explicit AI P&amp;L. It frames 2026 as the year AI investment must show measurable return. Product leaders are told to budget AI against outcomes, not novelty.</w:t>
            </w:r>
          </w:p>
        </w:tc>
        <w:tc>
          <w:tcPr>
            <w:tcW w:type="dxa" w:w="22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"AI product management", AI product strategy — central. Speaks to Director+ buyers under pressure to justify AI spend.</w:t>
            </w:r>
          </w:p>
        </w:tc>
        <w:tc>
          <w:tcPr>
            <w:tcW w:type="dxa" w:w="7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bCs/>
                <w:sz w:val="20"/>
                <w:szCs w:val="20"/>
              </w:rPr>
              <w:t xml:space="preserve">4/5</w:t>
            </w:r>
          </w:p>
        </w:tc>
        <w:tc>
          <w:tcPr>
            <w:tcW w:type="dxa" w:w="16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Executive-audience LinkedIn post or webinar on "AI ROI for product teams"; thought-leadership byline from ProductPlan CEO; email to Director+ segment.</w:t>
            </w:r>
          </w:p>
        </w:tc>
        <w:tc>
          <w:tcPr>
            <w:tcW w:type="dxa" w:w="16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ProductPlan can frame its platform as the way teams prove AI ROI in product — synthesis time saved, faster prioritization, fewer wrong bets. Tie Winware's measurable time-savings (hours of synthesis collapsed) to the AI-P&amp;L narrative.</w:t>
            </w:r>
          </w:p>
        </w:tc>
      </w:tr>
      <w:tr>
        <w:tc>
          <w:tcPr>
            <w:tcW w:type="dxa" w:w="30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17"/>
                <w:szCs w:val="17"/>
              </w:rPr>
              <w:t xml:space="preserve">AI Product Management, 2 Years In</w:t>
            </w:r>
          </w:p>
          <w:p>
            <w:r>
              <w:rPr>
                <w:i/>
                <w:iCs/>
                <w:color w:val="555555"/>
                <w:sz w:val="16"/>
                <w:szCs w:val="16"/>
              </w:rPr>
              <w:t xml:space="preserve">Silicon Valley Product Group (SVPG)</w:t>
            </w:r>
          </w:p>
          <w:p>
            <w:hyperlink w:history="1" r:id="rIdouynqjeq67ecwi0weybbs">
              <w:r>
                <w:rPr>
                  <w:rStyle w:val="Hyperlink"/>
                  <w:sz w:val="16"/>
                  <w:szCs w:val="16"/>
                </w:rPr>
                <w:t xml:space="preserve">Open article</w:t>
              </w:r>
            </w:hyperlink>
          </w:p>
        </w:tc>
        <w:tc>
          <w:tcPr>
            <w:tcW w:type="dxa" w:w="9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2026 (companion piece dated May 27, 2026)</w:t>
            </w:r>
          </w:p>
        </w:tc>
        <w:tc>
          <w:tcPr>
            <w:tcW w:type="dxa" w:w="296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SVPG reflects on two years of AI in product, arguing the cost of delivery has collapsed and the real bottleneck is now discovering what's worth building. The firm stresses that AI raises — not lowers — the bar for product judgment and customer discovery. Strong discovery and evidence remain the differentiators as building gets cheap.</w:t>
            </w:r>
          </w:p>
        </w:tc>
        <w:tc>
          <w:tcPr>
            <w:tcW w:type="dxa" w:w="22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product discovery, customer insights, AI product management — central. Reinforces that discovery/evidence (ProductPlan's turf) is the new bottleneck.</w:t>
            </w:r>
          </w:p>
        </w:tc>
        <w:tc>
          <w:tcPr>
            <w:tcW w:type="dxa" w:w="7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20"/>
                <w:szCs w:val="20"/>
              </w:rPr>
              <w:t xml:space="preserve">4/5</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Quote-and-build LinkedIn post agreeing with Cagan/SVPG; webinar panel theme; sales narrative for discovery-led teams.</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SVPG is the most respected voice in the space; aligning with their "discovery is the bottleneck" thesis lends credibility to ProductPlan's intelligence positioning. Winware operationalizes discovery at scale — exactly the capability SVPG says now matters most.</w:t>
            </w:r>
          </w:p>
        </w:tc>
      </w:tr>
      <w:tr>
        <w:tc>
          <w:tcPr>
            <w:tcW w:type="dxa" w:w="30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bCs/>
                <w:sz w:val="17"/>
                <w:szCs w:val="17"/>
              </w:rPr>
              <w:t xml:space="preserve">The AI Product Management Workflows Every PM Needs in 2026</w:t>
            </w:r>
          </w:p>
          <w:p>
            <w:r>
              <w:rPr>
                <w:i/>
                <w:iCs/>
                <w:color w:val="555555"/>
                <w:sz w:val="16"/>
                <w:szCs w:val="16"/>
              </w:rPr>
              <w:t xml:space="preserve">Productside</w:t>
            </w:r>
          </w:p>
          <w:p>
            <w:hyperlink w:history="1" r:id="rIdr-qww_uae34migdm-zrxo">
              <w:r>
                <w:rPr>
                  <w:rStyle w:val="Hyperlink"/>
                  <w:sz w:val="16"/>
                  <w:szCs w:val="16"/>
                </w:rPr>
                <w:t xml:space="preserve">Open article</w:t>
              </w:r>
            </w:hyperlink>
          </w:p>
        </w:tc>
        <w:tc>
          <w:tcPr>
            <w:tcW w:type="dxa" w:w="9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2026</w:t>
            </w:r>
          </w:p>
        </w:tc>
        <w:tc>
          <w:tcPr>
            <w:tcW w:type="dxa" w:w="296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Productside defines AI PM workflows as structured, repeatable processes that accelerate research, validation, prototyping, and documentation while improving decision accuracy. It argues core PM skills (problem framing, customer empathy, strategic thinking) remain central and become more valuable as AI handles execution. The framing is practitioner-focused and workflow-oriented.</w:t>
            </w:r>
          </w:p>
        </w:tc>
        <w:tc>
          <w:tcPr>
            <w:tcW w:type="dxa" w:w="22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AI product management workflows, customer research — central. Useful for mid-funnel education content aimed at practitioners under ProductPlan's Director buyers.</w:t>
            </w:r>
          </w:p>
        </w:tc>
        <w:tc>
          <w:tcPr>
            <w:tcW w:type="dxa" w:w="7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bCs/>
                <w:sz w:val="20"/>
                <w:szCs w:val="20"/>
              </w:rPr>
              <w:t xml:space="preserve">3/5</w:t>
            </w:r>
          </w:p>
        </w:tc>
        <w:tc>
          <w:tcPr>
            <w:tcW w:type="dxa" w:w="16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Evergreen how-to blog or template ("AI product intelligence workflow"); SEO content; enablement asset for champions selling ProductPlan internally.</w:t>
            </w:r>
          </w:p>
        </w:tc>
        <w:tc>
          <w:tcPr>
            <w:tcW w:type="dxa" w:w="1600"/>
            <w:tcBorders>
              <w:top w:val="single" w:color="B0B0B0" w:sz="1"/>
              <w:left w:val="single" w:color="B0B0B0" w:sz="1"/>
              <w:bottom w:val="single" w:color="B0B0B0" w:sz="1"/>
              <w:right w:val="single" w:color="B0B0B0" w:sz="1"/>
            </w:tcBorders>
            <w:shd w:fill="EAF1FB" w:val="clear"/>
            <w:tcMar>
              <w:top w:type="dxa" w:w="80"/>
              <w:left w:type="dxa" w:w="100"/>
              <w:bottom w:type="dxa" w:w="80"/>
              <w:right w:type="dxa" w:w="100"/>
            </w:tcMar>
          </w:tcPr>
          <w:p>
            <w:r>
              <w:rPr>
                <w:b w:val="false"/>
                <w:bCs w:val="false"/>
                <w:sz w:val="17"/>
                <w:szCs w:val="17"/>
              </w:rPr>
              <w:t xml:space="preserve">ProductPlan can productize these workflows — show how the platform + Winware run the research→validation→prioritization loop end to end, instead of a patchwork of point AI tools.</w:t>
            </w:r>
          </w:p>
        </w:tc>
      </w:tr>
      <w:tr>
        <w:tc>
          <w:tcPr>
            <w:tcW w:type="dxa" w:w="30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17"/>
                <w:szCs w:val="17"/>
              </w:rPr>
              <w:t xml:space="preserve">Productboard Spark: 4 New AI Features for PMs (walkthrough)</w:t>
            </w:r>
          </w:p>
          <w:p>
            <w:r>
              <w:rPr>
                <w:i/>
                <w:iCs/>
                <w:color w:val="555555"/>
                <w:sz w:val="16"/>
                <w:szCs w:val="16"/>
              </w:rPr>
              <w:t xml:space="preserve">Productboard (YouTube)</w:t>
            </w:r>
          </w:p>
          <w:p>
            <w:hyperlink w:history="1" r:id="rId0qc5hfonchiysi0qetozv">
              <w:r>
                <w:rPr>
                  <w:rStyle w:val="Hyperlink"/>
                  <w:sz w:val="16"/>
                  <w:szCs w:val="16"/>
                </w:rPr>
                <w:t xml:space="preserve">Open article</w:t>
              </w:r>
            </w:hyperlink>
          </w:p>
        </w:tc>
        <w:tc>
          <w:tcPr>
            <w:tcW w:type="dxa" w:w="9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2026</w:t>
            </w:r>
          </w:p>
        </w:tc>
        <w:tc>
          <w:tcPr>
            <w:tcW w:type="dxa" w:w="296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A product walkthrough showcasing Spark's newest AI features for PMs, including feedback synthesis and brief generation. It signals how aggressively Productboard is marketing its AI layer to practitioners. Useful as competitive intel on messaging and demo framing.</w:t>
            </w:r>
          </w:p>
        </w:tc>
        <w:tc>
          <w:tcPr>
            <w:tcW w:type="dxa" w:w="22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AI product management, customer insights — central (competitor marketing). Shows how Productboard demos AI synthesis.</w:t>
            </w:r>
          </w:p>
        </w:tc>
        <w:tc>
          <w:tcPr>
            <w:tcW w:type="dxa" w:w="7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bCs/>
                <w:sz w:val="20"/>
                <w:szCs w:val="20"/>
              </w:rPr>
              <w:t xml:space="preserve">3/5</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Internal competitive-intel note for sales/marketing; reverse-engineer demo talking points; identify gaps ProductPlan's demo should exploit.</w:t>
            </w:r>
          </w:p>
        </w:tc>
        <w:tc>
          <w:tcPr>
            <w:tcW w:type="dxa" w:w="1600"/>
            <w:tcBorders>
              <w:top w:val="single" w:color="B0B0B0" w:sz="1"/>
              <w:left w:val="single" w:color="B0B0B0" w:sz="1"/>
              <w:bottom w:val="single" w:color="B0B0B0" w:sz="1"/>
              <w:right w:val="single" w:color="B0B0B0" w:sz="1"/>
            </w:tcBorders>
            <w:shd w:fill="FFFFFF" w:val="clear"/>
            <w:tcMar>
              <w:top w:type="dxa" w:w="80"/>
              <w:left w:type="dxa" w:w="100"/>
              <w:bottom w:type="dxa" w:w="80"/>
              <w:right w:type="dxa" w:w="100"/>
            </w:tcMar>
          </w:tcPr>
          <w:p>
            <w:r>
              <w:rPr>
                <w:b w:val="false"/>
                <w:bCs w:val="false"/>
                <w:sz w:val="17"/>
                <w:szCs w:val="17"/>
              </w:rPr>
              <w:t xml:space="preserve">Watch for messaging overlap with ProductPlan's launch. Differentiate on breadth of ingested signal (Gong/CRM via Winware) and on evidence traceability rather than in-app feedback alone.</w:t>
            </w:r>
          </w:p>
        </w:tc>
      </w:tr>
    </w:tbl>
    <w:p>
      <w:r>
        <w:br w:type="page"/>
      </w:r>
    </w:p>
    <w:p>
      <w:pPr>
        <w:pStyle w:val="Heading1"/>
      </w:pPr>
      <w:r>
        <w:t xml:space="preserve">Recommended Next Actions</w:t>
      </w:r>
    </w:p>
    <w:p>
      <w:pPr>
        <w:pStyle w:val="ListParagraph"/>
        <w:numPr>
          <w:ilvl w:val="0"/>
          <w:numId w:val="3"/>
        </w:numPr>
      </w:pPr>
      <w:r>
        <w:rPr>
          <w:b/>
          <w:bCs/>
        </w:rPr>
        <w:t xml:space="preserve">Ship the “evidence gap” campaign this week. </w:t>
      </w:r>
      <w:r>
        <w:t xml:space="preserve">Build a LinkedIn carousel + gated piece around Atlassian's State of Product stats (84% fear failure; 31% use evidence). Highest-leverage demand-creation hook available right now.</w:t>
      </w:r>
    </w:p>
    <w:p>
      <w:pPr>
        <w:pStyle w:val="ListParagraph"/>
        <w:numPr>
          <w:ilvl w:val="0"/>
          <w:numId w:val="3"/>
        </w:numPr>
      </w:pPr>
      <w:r>
        <w:rPr>
          <w:b/>
          <w:bCs/>
        </w:rPr>
        <w:t xml:space="preserve">Refresh the Productboard and Atlassian battlecards. </w:t>
      </w:r>
      <w:r>
        <w:t xml:space="preserve">Both shipped AI synthesis features; update sales objection-handling to lead with Winware's breadth of signal (Gong + surveys + CRM) and source-quote traceability vs. in-app-feedback-only.</w:t>
      </w:r>
    </w:p>
    <w:p>
      <w:pPr>
        <w:pStyle w:val="ListParagraph"/>
        <w:numPr>
          <w:ilvl w:val="0"/>
          <w:numId w:val="3"/>
        </w:numPr>
      </w:pPr>
      <w:r>
        <w:rPr>
          <w:b/>
          <w:bCs/>
        </w:rPr>
        <w:t xml:space="preserve">Claim “synthesis quality” as the category criterion. </w:t>
      </w:r>
      <w:r>
        <w:t xml:space="preserve">Publish a comparison/AEO page targeting “customer intelligence platform” that makes traceability and four-signal coverage the scoring rubric — turning Enterpret's framing into ProductPlan's home-field test.</w:t>
      </w:r>
    </w:p>
    <w:p>
      <w:pPr>
        <w:pStyle w:val="ListParagraph"/>
        <w:numPr>
          <w:ilvl w:val="0"/>
          <w:numId w:val="3"/>
        </w:numPr>
      </w:pPr>
      <w:r>
        <w:rPr>
          <w:b/>
          <w:bCs/>
        </w:rPr>
        <w:t xml:space="preserve">Line up a CEO thought-leadership byline on AI ROI / AI P&amp;L. </w:t>
      </w:r>
      <w:r>
        <w:t xml:space="preserve">Ride the Mind the Product “AI ROI phase” theme; position ProductPlan as how product teams prove AI return (synthesis hours saved, fewer wrong bets). Targets Director+ buyers.</w:t>
      </w:r>
    </w:p>
    <w:p>
      <w:pPr>
        <w:pStyle w:val="ListParagraph"/>
        <w:numPr>
          <w:ilvl w:val="0"/>
          <w:numId w:val="3"/>
        </w:numPr>
        <w:spacing w:after="160"/>
      </w:pPr>
      <w:r>
        <w:rPr>
          <w:b/>
          <w:bCs/>
        </w:rPr>
        <w:t xml:space="preserve">Keep monitoring: </w:t>
      </w:r>
      <w:r>
        <w:t xml:space="preserve">Productboard Spark roadmap, Atlassian Rovo agentic roadmapping GA, Monday Vibe expansion, and keywords “product intelligence platform” / “customer intelligence AI.” Watch for any ProductPlan competitor claiming “traceable synthesis” first.</w:t>
      </w:r>
    </w:p>
    <w:p>
      <w:pPr>
        <w:spacing w:before="200"/>
      </w:pPr>
      <w:r>
        <w:rPr>
          <w:i/>
          <w:iCs/>
          <w:color w:val="777777"/>
          <w:sz w:val="16"/>
          <w:szCs w:val="16"/>
        </w:rPr>
        <w:t xml:space="preserve">Note: This is an automated scan. Article dates reflect best-available publication timing; several evergreen 2026 pieces were included where substantively central to ProductPlan's positioning. LinkedIn Company Hub posts were sourced via search rather than authenticated scraping.</w:t>
      </w:r>
    </w:p>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vs3pzqat3ti2inpsiy_j" Type="http://schemas.openxmlformats.org/officeDocument/2006/relationships/hyperlink" Target="https://support.productboard.com/hc/en-us/articles/360060759874-Productboard-Release-Notes" TargetMode="External"/><Relationship Id="rIdspg11yzs2enieyygcy9hg" Type="http://schemas.openxmlformats.org/officeDocument/2006/relationships/hyperlink" Target="https://www.atlassian.com/blog/company-news/introducing-product-collection" TargetMode="External"/><Relationship Id="rId3tfpgwndqcwftztcnccdj" Type="http://schemas.openxmlformats.org/officeDocument/2006/relationships/hyperlink" Target="https://monday.com/whats-new" TargetMode="External"/><Relationship Id="rIdffoxutdiuevzctxlvjwmx" Type="http://schemas.openxmlformats.org/officeDocument/2006/relationships/hyperlink" Target="https://www.mindtheproduct.com/inside-atlassians-state-of-product-2026-key-takeaways/" TargetMode="External"/><Relationship Id="rIdpp-0dqtmjax55gysut59q" Type="http://schemas.openxmlformats.org/officeDocument/2006/relationships/hyperlink" Target="https://www.enterpret.com/guides/customer-intelligence-ai-for-product-managers-5-platforms-evaluated-for-2026" TargetMode="External"/><Relationship Id="rId87xelz3wj8wig408hfzdq" Type="http://schemas.openxmlformats.org/officeDocument/2006/relationships/hyperlink" Target="https://www.mindtheproduct.com/the-2026-ai-product-strategy-huide-how-to-plan-budget-and-build-without-buying-into-the-hype/" TargetMode="External"/><Relationship Id="rIdouynqjeq67ecwi0weybbs" Type="http://schemas.openxmlformats.org/officeDocument/2006/relationships/hyperlink" Target="https://www.svpg.com/ai-product-management-2-years-in/" TargetMode="External"/><Relationship Id="rIdr-qww_uae34migdm-zrxo" Type="http://schemas.openxmlformats.org/officeDocument/2006/relationships/hyperlink" Target="https://productside.com/the-ai-product-management-workflows-2026/" TargetMode="External"/><Relationship Id="rId0qc5hfonchiysi0qetozv" Type="http://schemas.openxmlformats.org/officeDocument/2006/relationships/hyperlink" Target="https://www.youtube.com/watch?v=WUbMmTV5FF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2026-06-22T12:09:07.100Z</dcterms:created>
  <dcterms:modified xsi:type="dcterms:W3CDTF">2026-06-22T12:09:07.101Z</dcterms:modified>
</cp:coreProperties>
</file>

<file path=docProps/custom.xml><?xml version="1.0" encoding="utf-8"?>
<Properties xmlns="http://schemas.openxmlformats.org/officeDocument/2006/custom-properties" xmlns:vt="http://schemas.openxmlformats.org/officeDocument/2006/docPropsVTypes"/>
</file>