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A5F"/>
          <w:sz w:val="34"/>
          <w:szCs w:val="34"/>
        </w:rPr>
        <w:t xml:space="preserve">ProductPlan — Weekly Market Intelligence Scan</w:t>
      </w:r>
    </w:p>
    <w:p>
      <w:pPr>
        <w:spacing w:after="200"/>
      </w:pPr>
      <w:r>
        <w:rPr>
          <w:color w:val="666666"/>
          <w:sz w:val="18"/>
          <w:szCs w:val="18"/>
        </w:rPr>
        <w:t xml:space="preserve">Week of July 29, 2026  ·  Product Intelligence Platform  ·  Prepared by Marketing Research Partner</w:t>
      </w:r>
    </w:p>
    <w:p>
      <w:pPr>
        <w:pStyle w:val="Heading1"/>
        <w:spacing w:after="120" w:before="240"/>
      </w:pPr>
      <w:r>
        <w:rPr>
          <w:b/>
          <w:bCs/>
          <w:color w:val="1F3A5F"/>
        </w:rPr>
        <w:t xml:space="preserve">Executive Note — Top Findings This Week</w:t>
      </w:r>
    </w:p>
    <w:p>
      <w:pPr>
        <w:spacing w:after="120"/>
      </w:pPr>
      <w:r>
        <w:rPr>
          <w:sz w:val="20"/>
          <w:szCs w:val="20"/>
        </w:rPr>
        <w:t xml:space="preserve">1) Both primary competitors made major AI moves. Atlassian launched an AI-native SDLC system in Jira (Jira Planner + Teamwork Graph, agent assignment to Claude Code/Cursor/Copilot), and Monday.com restructured the company around its AI Work Platform. Both are racing to own the “context layer” for work — but on the delivery/execution side, not the customer-evidence side. ProductPlan’s clearest wedge is the intelligence upstream of execution: the “why to build.”</w:t>
      </w:r>
    </w:p>
    <w:p>
      <w:pPr>
        <w:spacing w:after="120"/>
      </w:pPr>
      <w:r>
        <w:rPr>
          <w:sz w:val="20"/>
          <w:szCs w:val="20"/>
        </w:rPr>
        <w:t xml:space="preserve">2) The market’s own thought leaders are validating ProductPlan’s core narrative. SVPG’s “AI Productivity Paradox” (89% of execs say AI sped up work, only 6% can prove ROI) and the VOC-synthesis trend (73% of B2B teams now synthesize feedback with AI weekly, up from 19% in 2023) map almost one-to-one onto the Winware.ai value proposition. The behavior has been adopted; the category language is up for grabs.</w:t>
      </w:r>
    </w:p>
    <w:p>
      <w:pPr>
        <w:spacing w:after="120"/>
      </w:pPr>
      <w:r>
        <w:rPr>
          <w:sz w:val="20"/>
          <w:szCs w:val="20"/>
        </w:rPr>
        <w:t xml:space="preserve">3) Positioning risk: analysts are defining “product intelligence” as behavioral analytics (Contentsquare, Pendo, Adobe, Amplitude). ProductPlan must actively differentiate decision intelligence (what/why to build) from analytics (how users click), or risk being miscategorized against the wrong competitive set during its rebrand.</w:t>
      </w:r>
    </w:p>
    <w:p>
      <w:pPr>
        <w:pStyle w:val="Heading1"/>
        <w:spacing w:after="120" w:before="240"/>
      </w:pPr>
      <w:r>
        <w:rPr>
          <w:b/>
          <w:bCs/>
          <w:color w:val="1F3A5F"/>
        </w:rPr>
        <w:t xml:space="preserve">Research Table — Sorted by Relevance (High to Low)</w:t>
      </w:r>
    </w:p>
    <w:p>
      <w:pPr>
        <w:spacing w:after="120"/>
      </w:pPr>
      <w:r>
        <w:rPr>
          <w:sz w:val="20"/>
          <w:szCs w:val="20"/>
        </w:rPr>
        <w:t xml:space="preserve">Ten qualifying articles from the last ~7 days where the tracked keyword or topic was substantive and central. Scores are relative to ProductPlan’s ICP, positioning and competitive set.</w:t>
      </w:r>
    </w:p>
    <w:tbl>
      <w:tblPr>
        <w:tblW w:type="dxa" w:w="14400"/>
        <w:tblBorders>
          <w:top w:val="single" w:color="C9D6E5" w:sz="2"/>
          <w:left w:val="single" w:color="C9D6E5" w:sz="2"/>
          <w:bottom w:val="single" w:color="C9D6E5" w:sz="2"/>
          <w:right w:val="single" w:color="C9D6E5" w:sz="2"/>
          <w:insideH w:val="single" w:color="C9D6E5" w:sz="2"/>
          <w:insideV w:val="single" w:color="C9D6E5" w:sz="2"/>
        </w:tblBorders>
      </w:tblPr>
      <w:tblGrid>
        <w:gridCol w:w="2600"/>
        <w:gridCol w:w="900"/>
        <w:gridCol w:w="3300"/>
        <w:gridCol w:w="2000"/>
        <w:gridCol w:w="1000"/>
        <w:gridCol w:w="2300"/>
        <w:gridCol w:w="2300"/>
      </w:tblGrid>
      <w:tr>
        <w:trPr>
          <w:tblHeader/>
        </w:trPr>
        <w:tc>
          <w:tcPr>
            <w:shd w:fill="1F3A5F" w:color="auto" w:val="clear"/>
            <w:tcMar>
              <w:top w:type="dxa" w:w="60"/>
              <w:left w:type="dxa" w:w="80"/>
              <w:bottom w:type="dxa" w:w="60"/>
              <w:right w:type="dxa" w:w="80"/>
            </w:tcMar>
          </w:tcPr>
          <w:p>
            <w:r>
              <w:rPr>
                <w:b/>
                <w:bCs/>
                <w:color w:val="FFFFFF"/>
                <w:sz w:val="16"/>
                <w:szCs w:val="16"/>
              </w:rPr>
              <w:t xml:space="preserve">Headline / Source</w:t>
            </w:r>
          </w:p>
        </w:tc>
        <w:tc>
          <w:tcPr>
            <w:shd w:fill="1F3A5F" w:color="auto" w:val="clear"/>
            <w:tcMar>
              <w:top w:type="dxa" w:w="60"/>
              <w:left w:type="dxa" w:w="80"/>
              <w:bottom w:type="dxa" w:w="60"/>
              <w:right w:type="dxa" w:w="80"/>
            </w:tcMar>
          </w:tcPr>
          <w:p>
            <w:r>
              <w:rPr>
                <w:b/>
                <w:bCs/>
                <w:color w:val="FFFFFF"/>
                <w:sz w:val="16"/>
                <w:szCs w:val="16"/>
              </w:rPr>
              <w:t xml:space="preserve">Date</w:t>
            </w:r>
          </w:p>
        </w:tc>
        <w:tc>
          <w:tcPr>
            <w:shd w:fill="1F3A5F" w:color="auto" w:val="clear"/>
            <w:tcMar>
              <w:top w:type="dxa" w:w="60"/>
              <w:left w:type="dxa" w:w="80"/>
              <w:bottom w:type="dxa" w:w="60"/>
              <w:right w:type="dxa" w:w="80"/>
            </w:tcMar>
          </w:tcPr>
          <w:p>
            <w:r>
              <w:rPr>
                <w:b/>
                <w:bCs/>
                <w:color w:val="FFFFFF"/>
                <w:sz w:val="16"/>
                <w:szCs w:val="16"/>
              </w:rPr>
              <w:t xml:space="preserve">Summary</w:t>
            </w:r>
          </w:p>
        </w:tc>
        <w:tc>
          <w:tcPr>
            <w:shd w:fill="1F3A5F" w:color="auto" w:val="clear"/>
            <w:tcMar>
              <w:top w:type="dxa" w:w="60"/>
              <w:left w:type="dxa" w:w="80"/>
              <w:bottom w:type="dxa" w:w="60"/>
              <w:right w:type="dxa" w:w="80"/>
            </w:tcMar>
          </w:tcPr>
          <w:p>
            <w:r>
              <w:rPr>
                <w:b/>
                <w:bCs/>
                <w:color w:val="FFFFFF"/>
                <w:sz w:val="16"/>
                <w:szCs w:val="16"/>
              </w:rPr>
              <w:t xml:space="preserve">Keywords &amp; Context</w:t>
            </w:r>
          </w:p>
        </w:tc>
        <w:tc>
          <w:tcPr>
            <w:shd w:fill="1F3A5F" w:color="auto" w:val="clear"/>
            <w:tcMar>
              <w:top w:type="dxa" w:w="60"/>
              <w:left w:type="dxa" w:w="80"/>
              <w:bottom w:type="dxa" w:w="60"/>
              <w:right w:type="dxa" w:w="80"/>
            </w:tcMar>
          </w:tcPr>
          <w:p>
            <w:r>
              <w:rPr>
                <w:b/>
                <w:bCs/>
                <w:color w:val="FFFFFF"/>
                <w:sz w:val="16"/>
                <w:szCs w:val="16"/>
              </w:rPr>
              <w:t xml:space="preserve">Score</w:t>
            </w:r>
          </w:p>
        </w:tc>
        <w:tc>
          <w:tcPr>
            <w:shd w:fill="1F3A5F" w:color="auto" w:val="clear"/>
            <w:tcMar>
              <w:top w:type="dxa" w:w="60"/>
              <w:left w:type="dxa" w:w="80"/>
              <w:bottom w:type="dxa" w:w="60"/>
              <w:right w:type="dxa" w:w="80"/>
            </w:tcMar>
          </w:tcPr>
          <w:p>
            <w:r>
              <w:rPr>
                <w:b/>
                <w:bCs/>
                <w:color w:val="FFFFFF"/>
                <w:sz w:val="16"/>
                <w:szCs w:val="16"/>
              </w:rPr>
              <w:t xml:space="preserve">How to Engage</w:t>
            </w:r>
          </w:p>
        </w:tc>
        <w:tc>
          <w:tcPr>
            <w:shd w:fill="1F3A5F" w:color="auto" w:val="clear"/>
            <w:tcMar>
              <w:top w:type="dxa" w:w="60"/>
              <w:left w:type="dxa" w:w="80"/>
              <w:bottom w:type="dxa" w:w="60"/>
              <w:right w:type="dxa" w:w="80"/>
            </w:tcMar>
          </w:tcPr>
          <w:p>
            <w:r>
              <w:rPr>
                <w:b/>
                <w:bCs/>
                <w:color w:val="FFFFFF"/>
                <w:sz w:val="16"/>
                <w:szCs w:val="16"/>
              </w:rPr>
              <w:t xml:space="preserve">ProductPlan Fit</w:t>
            </w:r>
          </w:p>
        </w:tc>
      </w:tr>
      <w:tr>
        <w:tc>
          <w:tcPr>
            <w:tcW w:type="dxa" w:w="2600"/>
            <w:tcMar>
              <w:top w:type="dxa" w:w="50"/>
              <w:left w:type="dxa" w:w="80"/>
              <w:bottom w:type="dxa" w:w="50"/>
              <w:right w:type="dxa" w:w="80"/>
            </w:tcMar>
          </w:tcPr>
          <w:p>
            <w:pPr>
              <w:spacing w:after="40"/>
            </w:pPr>
            <w:hyperlink w:history="1" r:id="rIddwb4xnvascap0tdfur-d7">
              <w:r>
                <w:rPr>
                  <w:rStyle w:val="Hyperlink"/>
                  <w:b/>
                  <w:bCs/>
                  <w:color w:val="2E7DD1"/>
                  <w:sz w:val="16"/>
                  <w:szCs w:val="16"/>
                </w:rPr>
                <w:t xml:space="preserve">Atlassian Announces System for AI-native Software Development in Jira</w:t>
              </w:r>
            </w:hyperlink>
          </w:p>
          <w:p>
            <w:pPr>
              <w:spacing w:after="40"/>
            </w:pPr>
            <w:r>
              <w:rPr>
                <w:b w:val="false"/>
                <w:bCs w:val="false"/>
                <w:color w:val="666666"/>
                <w:sz w:val="14"/>
                <w:szCs w:val="14"/>
              </w:rPr>
              <w:t xml:space="preserve">DEVOPSdigest / Atlassian</w:t>
            </w:r>
          </w:p>
        </w:tc>
        <w:tc>
          <w:tcPr>
            <w:tcW w:type="dxa" w:w="900"/>
            <w:tcMar>
              <w:top w:type="dxa" w:w="50"/>
              <w:left w:type="dxa" w:w="80"/>
              <w:bottom w:type="dxa" w:w="50"/>
              <w:right w:type="dxa" w:w="80"/>
            </w:tcMar>
          </w:tcPr>
          <w:p>
            <w:pPr>
              <w:spacing w:after="40"/>
            </w:pPr>
            <w:r>
              <w:rPr>
                <w:b w:val="false"/>
                <w:bCs w:val="false"/>
                <w:color w:val="222222"/>
                <w:sz w:val="15"/>
                <w:szCs w:val="15"/>
              </w:rPr>
              <w:t xml:space="preserve">Jul 21, 2026</w:t>
            </w:r>
          </w:p>
        </w:tc>
        <w:tc>
          <w:tcPr>
            <w:tcW w:type="dxa" w:w="3300"/>
            <w:tcMar>
              <w:top w:type="dxa" w:w="50"/>
              <w:left w:type="dxa" w:w="80"/>
              <w:bottom w:type="dxa" w:w="50"/>
              <w:right w:type="dxa" w:w="80"/>
            </w:tcMar>
          </w:tcPr>
          <w:p>
            <w:pPr>
              <w:spacing w:after="40"/>
            </w:pPr>
            <w:r>
              <w:rPr>
                <w:b w:val="false"/>
                <w:bCs w:val="false"/>
                <w:color w:val="222222"/>
                <w:sz w:val="16"/>
                <w:szCs w:val="16"/>
              </w:rPr>
              <w:t xml:space="preserve">Atlassian unveiled Jira Planner and a Teamwork Graph data layer that lets teams plan, orchestrate and scale agentic work across the full SDLC, and assign work items directly to coding agents like Claude Code, Cursor and Copilot at no extra cost. Internal benchmarks claim 44% more accurate agent results using 48% fewer tokens when enriched by Teamwork Graph. The move pushes Jira from issue tracking toward an AI-native planning and context layer.</w:t>
            </w:r>
          </w:p>
        </w:tc>
        <w:tc>
          <w:tcPr>
            <w:tcW w:type="dxa" w:w="2000"/>
            <w:tcMar>
              <w:top w:type="dxa" w:w="50"/>
              <w:left w:type="dxa" w:w="80"/>
              <w:bottom w:type="dxa" w:w="50"/>
              <w:right w:type="dxa" w:w="80"/>
            </w:tcMar>
          </w:tcPr>
          <w:p>
            <w:pPr>
              <w:spacing w:after="40"/>
            </w:pPr>
            <w:r>
              <w:rPr>
                <w:b w:val="false"/>
                <w:bCs w:val="false"/>
                <w:color w:val="222222"/>
                <w:sz w:val="15"/>
                <w:szCs w:val="15"/>
              </w:rPr>
              <w:t xml:space="preserve">"AI product management", product roadmapping software — central: Jira positions its Teamwork Graph as the context layer for product + engineering work.</w:t>
            </w:r>
          </w:p>
        </w:tc>
        <w:tc>
          <w:tcPr>
            <w:tcW w:type="dxa" w:w="1000"/>
            <w:tcMar>
              <w:top w:type="dxa" w:w="50"/>
              <w:left w:type="dxa" w:w="80"/>
              <w:bottom w:type="dxa" w:w="50"/>
              <w:right w:type="dxa" w:w="80"/>
            </w:tcMar>
          </w:tcPr>
          <w:p>
            <w:r>
              <w:rPr>
                <w:b/>
                <w:bCs/>
                <w:color w:val="1F3A5F"/>
                <w:sz w:val="22"/>
                <w:szCs w:val="22"/>
              </w:rPr>
              <w:t xml:space="preserve">5</w:t>
            </w:r>
          </w:p>
          <w:p>
            <w:pPr>
              <w:spacing w:after="40"/>
            </w:pPr>
            <w:r>
              <w:rPr>
                <w:b w:val="false"/>
                <w:bCs w:val="false"/>
                <w:color w:val="2E7DD1"/>
                <w:sz w:val="14"/>
                <w:szCs w:val="14"/>
              </w:rPr>
              <w:t xml:space="preserve">★★★★★</w:t>
            </w:r>
          </w:p>
        </w:tc>
        <w:tc>
          <w:tcPr>
            <w:tcW w:type="dxa" w:w="2300"/>
            <w:tcMar>
              <w:top w:type="dxa" w:w="50"/>
              <w:left w:type="dxa" w:w="80"/>
              <w:bottom w:type="dxa" w:w="50"/>
              <w:right w:type="dxa" w:w="80"/>
            </w:tcMar>
          </w:tcPr>
          <w:p>
            <w:pPr>
              <w:spacing w:after="40"/>
            </w:pPr>
            <w:r>
              <w:rPr>
                <w:b w:val="false"/>
                <w:bCs w:val="false"/>
                <w:color w:val="222222"/>
                <w:sz w:val="16"/>
                <w:szCs w:val="16"/>
              </w:rPr>
              <w:t xml:space="preserve">Sales battlecard refresh; LinkedIn POV post contrasting “engineering-context AI” (Jira) vs. “customer + market-context intelligence” (ProductPlan); exec briefing on the biggest competitor/partner move of the quarter.</w:t>
            </w:r>
          </w:p>
        </w:tc>
        <w:tc>
          <w:tcPr>
            <w:tcW w:type="dxa" w:w="2300"/>
            <w:tcMar>
              <w:top w:type="dxa" w:w="50"/>
              <w:left w:type="dxa" w:w="80"/>
              <w:bottom w:type="dxa" w:w="50"/>
              <w:right w:type="dxa" w:w="80"/>
            </w:tcMar>
          </w:tcPr>
          <w:p>
            <w:pPr>
              <w:spacing w:after="40"/>
            </w:pPr>
            <w:r>
              <w:rPr>
                <w:b w:val="false"/>
                <w:bCs w:val="false"/>
                <w:color w:val="222222"/>
                <w:sz w:val="16"/>
                <w:szCs w:val="16"/>
              </w:rPr>
              <w:t xml:space="preserve">Jira’s Teamwork Graph connects work, code and goals — but not the voice of the customer. ProductPlan’s Winware AI synthesizes surveys, Gong calls and CRM into the “why to build” that Jira’s delivery-side graph lacks. Position ProductPlan as the intelligence upstream of Jira execution.</w:t>
            </w:r>
          </w:p>
        </w:tc>
      </w:tr>
      <w:tr>
        <w:tc>
          <w:tcPr>
            <w:tcW w:type="dxa" w:w="2600"/>
            <w:shd w:fill="F4F8FD" w:color="auto" w:val="clear"/>
            <w:tcMar>
              <w:top w:type="dxa" w:w="50"/>
              <w:left w:type="dxa" w:w="80"/>
              <w:bottom w:type="dxa" w:w="50"/>
              <w:right w:type="dxa" w:w="80"/>
            </w:tcMar>
          </w:tcPr>
          <w:p>
            <w:pPr>
              <w:spacing w:after="40"/>
            </w:pPr>
            <w:hyperlink w:history="1" r:id="rId1hnln1rfix_-mtgwshgfl">
              <w:r>
                <w:rPr>
                  <w:rStyle w:val="Hyperlink"/>
                  <w:b/>
                  <w:bCs/>
                  <w:color w:val="2E7DD1"/>
                  <w:sz w:val="16"/>
                  <w:szCs w:val="16"/>
                </w:rPr>
                <w:t xml:space="preserve">Monday.com Launches July 2026 Restructuring to Sharpen Focus on AI Work Platform</w:t>
              </w:r>
            </w:hyperlink>
          </w:p>
          <w:p>
            <w:pPr>
              <w:spacing w:after="40"/>
            </w:pPr>
            <w:r>
              <w:rPr>
                <w:b w:val="false"/>
                <w:bCs w:val="false"/>
                <w:color w:val="666666"/>
                <w:sz w:val="14"/>
                <w:szCs w:val="14"/>
              </w:rPr>
              <w:t xml:space="preserve">TipRanks / Monday.com</w:t>
            </w:r>
          </w:p>
        </w:tc>
        <w:tc>
          <w:tcPr>
            <w:tcW w:type="dxa" w:w="900"/>
            <w:shd w:fill="F4F8FD" w:color="auto" w:val="clear"/>
            <w:tcMar>
              <w:top w:type="dxa" w:w="50"/>
              <w:left w:type="dxa" w:w="80"/>
              <w:bottom w:type="dxa" w:w="50"/>
              <w:right w:type="dxa" w:w="80"/>
            </w:tcMar>
          </w:tcPr>
          <w:p>
            <w:pPr>
              <w:spacing w:after="40"/>
            </w:pPr>
            <w:r>
              <w:rPr>
                <w:b w:val="false"/>
                <w:bCs w:val="false"/>
                <w:color w:val="222222"/>
                <w:sz w:val="15"/>
                <w:szCs w:val="15"/>
              </w:rPr>
              <w:t xml:space="preserve">Jul 22, 2026</w:t>
            </w:r>
          </w:p>
        </w:tc>
        <w:tc>
          <w:tcPr>
            <w:tcW w:type="dxa" w:w="3300"/>
            <w:shd w:fill="F4F8FD" w:color="auto" w:val="clear"/>
            <w:tcMar>
              <w:top w:type="dxa" w:w="50"/>
              <w:left w:type="dxa" w:w="80"/>
              <w:bottom w:type="dxa" w:w="50"/>
              <w:right w:type="dxa" w:w="80"/>
            </w:tcMar>
          </w:tcPr>
          <w:p>
            <w:pPr>
              <w:spacing w:after="40"/>
            </w:pPr>
            <w:r>
              <w:rPr>
                <w:b w:val="false"/>
                <w:bCs w:val="false"/>
                <w:color w:val="222222"/>
                <w:sz w:val="16"/>
                <w:szCs w:val="16"/>
              </w:rPr>
              <w:t xml:space="preserve">Monday.com announced a restructuring to align the org behind its AI Work Platform strategy, doubling down on Sidekick (conversational AI), Vibe and Agents. Recent releases let users build dashboards, automations and connect any third-party MCP server via natural language. The consolidation pitch — one AI platform for all work — directly targets ProductPlan’s mid-market buyers.</w:t>
            </w:r>
          </w:p>
        </w:tc>
        <w:tc>
          <w:tcPr>
            <w:tcW w:type="dxa" w:w="2000"/>
            <w:shd w:fill="F4F8FD" w:color="auto" w:val="clear"/>
            <w:tcMar>
              <w:top w:type="dxa" w:w="50"/>
              <w:left w:type="dxa" w:w="80"/>
              <w:bottom w:type="dxa" w:w="50"/>
              <w:right w:type="dxa" w:w="80"/>
            </w:tcMar>
          </w:tcPr>
          <w:p>
            <w:pPr>
              <w:spacing w:after="40"/>
            </w:pPr>
            <w:r>
              <w:rPr>
                <w:b w:val="false"/>
                <w:bCs w:val="false"/>
                <w:color w:val="222222"/>
                <w:sz w:val="15"/>
                <w:szCs w:val="15"/>
              </w:rPr>
              <w:t xml:space="preserve">"product management software", product prioritization AI — central: Monday markets an AI Work OS spanning product workflows.</w:t>
            </w:r>
          </w:p>
        </w:tc>
        <w:tc>
          <w:tcPr>
            <w:tcW w:type="dxa" w:w="1000"/>
            <w:shd w:fill="F4F8FD" w:color="auto" w:val="clear"/>
            <w:tcMar>
              <w:top w:type="dxa" w:w="50"/>
              <w:left w:type="dxa" w:w="80"/>
              <w:bottom w:type="dxa" w:w="50"/>
              <w:right w:type="dxa" w:w="80"/>
            </w:tcMar>
          </w:tcPr>
          <w:p>
            <w:r>
              <w:rPr>
                <w:b/>
                <w:bCs/>
                <w:color w:val="1F3A5F"/>
                <w:sz w:val="22"/>
                <w:szCs w:val="22"/>
              </w:rPr>
              <w:t xml:space="preserve">5</w:t>
            </w:r>
          </w:p>
          <w:p>
            <w:pPr>
              <w:spacing w:after="40"/>
            </w:pPr>
            <w:r>
              <w:rPr>
                <w:b w:val="false"/>
                <w:bCs w:val="false"/>
                <w:color w:val="2E7DD1"/>
                <w:sz w:val="14"/>
                <w:szCs w:val="14"/>
              </w:rPr>
              <w:t xml:space="preserve">★★★★★</w:t>
            </w:r>
          </w:p>
        </w:tc>
        <w:tc>
          <w:tcPr>
            <w:tcW w:type="dxa" w:w="2300"/>
            <w:shd w:fill="F4F8FD" w:color="auto" w:val="clear"/>
            <w:tcMar>
              <w:top w:type="dxa" w:w="50"/>
              <w:left w:type="dxa" w:w="80"/>
              <w:bottom w:type="dxa" w:w="50"/>
              <w:right w:type="dxa" w:w="80"/>
            </w:tcMar>
          </w:tcPr>
          <w:p>
            <w:pPr>
              <w:spacing w:after="40"/>
            </w:pPr>
            <w:r>
              <w:rPr>
                <w:b w:val="false"/>
                <w:bCs w:val="false"/>
                <w:color w:val="222222"/>
                <w:sz w:val="16"/>
                <w:szCs w:val="16"/>
              </w:rPr>
              <w:t xml:space="preserve">Update Monday.com battlecard; sales talking point on “horizontal work OS vs. purpose-built product intelligence”; nurture email to at-risk accounts reinforcing depth over breadth.</w:t>
            </w:r>
          </w:p>
        </w:tc>
        <w:tc>
          <w:tcPr>
            <w:tcW w:type="dxa" w:w="2300"/>
            <w:shd w:fill="F4F8FD" w:color="auto" w:val="clear"/>
            <w:tcMar>
              <w:top w:type="dxa" w:w="50"/>
              <w:left w:type="dxa" w:w="80"/>
              <w:bottom w:type="dxa" w:w="50"/>
              <w:right w:type="dxa" w:w="80"/>
            </w:tcMar>
          </w:tcPr>
          <w:p>
            <w:pPr>
              <w:spacing w:after="40"/>
            </w:pPr>
            <w:r>
              <w:rPr>
                <w:b w:val="false"/>
                <w:bCs w:val="false"/>
                <w:color w:val="222222"/>
                <w:sz w:val="16"/>
                <w:szCs w:val="16"/>
              </w:rPr>
              <w:t xml:space="preserve">Monday is a broad, horizontal platform; ProductPlan is purpose-built for Director+ product leaders and grounds decisions in synthesized customer evidence. Frame Winware AI’s survey/Gong/CRM synthesis as intelligence Monday’s generalist agents can’t match.</w:t>
            </w:r>
          </w:p>
        </w:tc>
      </w:tr>
      <w:tr>
        <w:tc>
          <w:tcPr>
            <w:tcW w:type="dxa" w:w="2600"/>
            <w:tcMar>
              <w:top w:type="dxa" w:w="50"/>
              <w:left w:type="dxa" w:w="80"/>
              <w:bottom w:type="dxa" w:w="50"/>
              <w:right w:type="dxa" w:w="80"/>
            </w:tcMar>
          </w:tcPr>
          <w:p>
            <w:pPr>
              <w:spacing w:after="40"/>
            </w:pPr>
            <w:hyperlink w:history="1" r:id="rIdsfepiuzvq_pcqmcshvv28">
              <w:r>
                <w:rPr>
                  <w:rStyle w:val="Hyperlink"/>
                  <w:b/>
                  <w:bCs/>
                  <w:color w:val="2E7DD1"/>
                  <w:sz w:val="16"/>
                  <w:szCs w:val="16"/>
                </w:rPr>
                <w:t xml:space="preserve">The AI Productivity Paradox</w:t>
              </w:r>
            </w:hyperlink>
          </w:p>
          <w:p>
            <w:pPr>
              <w:spacing w:after="40"/>
            </w:pPr>
            <w:r>
              <w:rPr>
                <w:b w:val="false"/>
                <w:bCs w:val="false"/>
                <w:color w:val="666666"/>
                <w:sz w:val="14"/>
                <w:szCs w:val="14"/>
              </w:rPr>
              <w:t xml:space="preserve">Silicon Valley Product Group (SVPG)</w:t>
            </w:r>
          </w:p>
        </w:tc>
        <w:tc>
          <w:tcPr>
            <w:tcW w:type="dxa" w:w="900"/>
            <w:tcMar>
              <w:top w:type="dxa" w:w="50"/>
              <w:left w:type="dxa" w:w="80"/>
              <w:bottom w:type="dxa" w:w="50"/>
              <w:right w:type="dxa" w:w="80"/>
            </w:tcMar>
          </w:tcPr>
          <w:p>
            <w:pPr>
              <w:spacing w:after="40"/>
            </w:pPr>
            <w:r>
              <w:rPr>
                <w:b w:val="false"/>
                <w:bCs w:val="false"/>
                <w:color w:val="222222"/>
                <w:sz w:val="15"/>
                <w:szCs w:val="15"/>
              </w:rPr>
              <w:t xml:space="preserve">Jul 23, 2026</w:t>
            </w:r>
          </w:p>
        </w:tc>
        <w:tc>
          <w:tcPr>
            <w:tcW w:type="dxa" w:w="3300"/>
            <w:tcMar>
              <w:top w:type="dxa" w:w="50"/>
              <w:left w:type="dxa" w:w="80"/>
              <w:bottom w:type="dxa" w:w="50"/>
              <w:right w:type="dxa" w:w="80"/>
            </w:tcMar>
          </w:tcPr>
          <w:p>
            <w:pPr>
              <w:spacing w:after="40"/>
            </w:pPr>
            <w:r>
              <w:rPr>
                <w:b w:val="false"/>
                <w:bCs w:val="false"/>
                <w:color w:val="222222"/>
                <w:sz w:val="16"/>
                <w:szCs w:val="16"/>
              </w:rPr>
              <w:t xml:space="preserve">SVPG argues teams are shipping faster with AI yet outcomes are not improving — the “AI Productivity Paradox.” Citing McKinsey and Atlassian’s State of Teams 2026 (89% of execs say AI sped up work, only 6% can point to ROI), the piece reframes the problem as output vs. outcomes. The fix is the product operating model: better decisions, not just faster delivery.</w:t>
            </w:r>
          </w:p>
        </w:tc>
        <w:tc>
          <w:tcPr>
            <w:tcW w:type="dxa" w:w="2000"/>
            <w:tcMar>
              <w:top w:type="dxa" w:w="50"/>
              <w:left w:type="dxa" w:w="80"/>
              <w:bottom w:type="dxa" w:w="50"/>
              <w:right w:type="dxa" w:w="80"/>
            </w:tcMar>
          </w:tcPr>
          <w:p>
            <w:pPr>
              <w:spacing w:after="40"/>
            </w:pPr>
            <w:r>
              <w:rPr>
                <w:b w:val="false"/>
                <w:bCs w:val="false"/>
                <w:color w:val="222222"/>
                <w:sz w:val="15"/>
                <w:szCs w:val="15"/>
              </w:rPr>
              <w:t xml:space="preserve">"AI product management", product intelligence — central thesis: speed without better decisions produces no outcome gains.</w:t>
            </w:r>
          </w:p>
        </w:tc>
        <w:tc>
          <w:tcPr>
            <w:tcW w:type="dxa" w:w="1000"/>
            <w:tcMar>
              <w:top w:type="dxa" w:w="50"/>
              <w:left w:type="dxa" w:w="80"/>
              <w:bottom w:type="dxa" w:w="50"/>
              <w:right w:type="dxa" w:w="80"/>
            </w:tcMar>
          </w:tcPr>
          <w:p>
            <w:r>
              <w:rPr>
                <w:b/>
                <w:bCs/>
                <w:color w:val="1F3A5F"/>
                <w:sz w:val="22"/>
                <w:szCs w:val="22"/>
              </w:rPr>
              <w:t xml:space="preserve">5</w:t>
            </w:r>
          </w:p>
          <w:p>
            <w:pPr>
              <w:spacing w:after="40"/>
            </w:pPr>
            <w:r>
              <w:rPr>
                <w:b w:val="false"/>
                <w:bCs w:val="false"/>
                <w:color w:val="2E7DD1"/>
                <w:sz w:val="14"/>
                <w:szCs w:val="14"/>
              </w:rPr>
              <w:t xml:space="preserve">★★★★★</w:t>
            </w:r>
          </w:p>
        </w:tc>
        <w:tc>
          <w:tcPr>
            <w:tcW w:type="dxa" w:w="2300"/>
            <w:tcMar>
              <w:top w:type="dxa" w:w="50"/>
              <w:left w:type="dxa" w:w="80"/>
              <w:bottom w:type="dxa" w:w="50"/>
              <w:right w:type="dxa" w:w="80"/>
            </w:tcMar>
          </w:tcPr>
          <w:p>
            <w:pPr>
              <w:spacing w:after="40"/>
            </w:pPr>
            <w:r>
              <w:rPr>
                <w:b w:val="false"/>
                <w:bCs w:val="false"/>
                <w:color w:val="222222"/>
                <w:sz w:val="16"/>
                <w:szCs w:val="16"/>
              </w:rPr>
              <w:t xml:space="preserve">Anchor LinkedIn thought-leadership post and a webinar (“From output to outcomes”); executive briefing; blog response tying the paradox to decision intelligence.</w:t>
            </w:r>
          </w:p>
        </w:tc>
        <w:tc>
          <w:tcPr>
            <w:tcW w:type="dxa" w:w="2300"/>
            <w:tcMar>
              <w:top w:type="dxa" w:w="50"/>
              <w:left w:type="dxa" w:w="80"/>
              <w:bottom w:type="dxa" w:w="50"/>
              <w:right w:type="dxa" w:w="80"/>
            </w:tcMar>
          </w:tcPr>
          <w:p>
            <w:pPr>
              <w:spacing w:after="40"/>
            </w:pPr>
            <w:r>
              <w:rPr>
                <w:b w:val="false"/>
                <w:bCs w:val="false"/>
                <w:color w:val="222222"/>
                <w:sz w:val="16"/>
                <w:szCs w:val="16"/>
              </w:rPr>
              <w:t xml:space="preserve">This is ProductPlan’s core narrative in someone else’s words: AI that only accelerates output is a trap. Position the Product Intelligence Platform as the outcome layer — Winware AI turns signal into evidence-backed prioritization so faster work is also righter work.</w:t>
            </w:r>
          </w:p>
        </w:tc>
      </w:tr>
      <w:tr>
        <w:tc>
          <w:tcPr>
            <w:tcW w:type="dxa" w:w="2600"/>
            <w:shd w:fill="F4F8FD" w:color="auto" w:val="clear"/>
            <w:tcMar>
              <w:top w:type="dxa" w:w="50"/>
              <w:left w:type="dxa" w:w="80"/>
              <w:bottom w:type="dxa" w:w="50"/>
              <w:right w:type="dxa" w:w="80"/>
            </w:tcMar>
          </w:tcPr>
          <w:p>
            <w:pPr>
              <w:spacing w:after="40"/>
            </w:pPr>
            <w:hyperlink w:history="1" r:id="rIdjyjmbici84kqj2qgodgno">
              <w:r>
                <w:rPr>
                  <w:rStyle w:val="Hyperlink"/>
                  <w:b/>
                  <w:bCs/>
                  <w:color w:val="2E7DD1"/>
                  <w:sz w:val="16"/>
                  <w:szCs w:val="16"/>
                </w:rPr>
                <w:t xml:space="preserve">Voice of Customer in 2026: How B2B Product Teams Actually Use VOC</w:t>
              </w:r>
            </w:hyperlink>
          </w:p>
          <w:p>
            <w:pPr>
              <w:spacing w:after="40"/>
            </w:pPr>
            <w:r>
              <w:rPr>
                <w:b w:val="false"/>
                <w:bCs w:val="false"/>
                <w:color w:val="666666"/>
                <w:sz w:val="14"/>
                <w:szCs w:val="14"/>
              </w:rPr>
              <w:t xml:space="preserve">BuildBetter.ai (trend cluster)</w:t>
            </w:r>
          </w:p>
        </w:tc>
        <w:tc>
          <w:tcPr>
            <w:tcW w:type="dxa" w:w="900"/>
            <w:shd w:fill="F4F8FD" w:color="auto" w:val="clear"/>
            <w:tcMar>
              <w:top w:type="dxa" w:w="50"/>
              <w:left w:type="dxa" w:w="80"/>
              <w:bottom w:type="dxa" w:w="50"/>
              <w:right w:type="dxa" w:w="80"/>
            </w:tcMar>
          </w:tcPr>
          <w:p>
            <w:pPr>
              <w:spacing w:after="40"/>
            </w:pPr>
            <w:r>
              <w:rPr>
                <w:b w:val="false"/>
                <w:bCs w:val="false"/>
                <w:color w:val="222222"/>
                <w:sz w:val="15"/>
                <w:szCs w:val="15"/>
              </w:rPr>
              <w:t xml:space="preserve">Jul 2026</w:t>
            </w:r>
          </w:p>
        </w:tc>
        <w:tc>
          <w:tcPr>
            <w:tcW w:type="dxa" w:w="3300"/>
            <w:shd w:fill="F4F8FD" w:color="auto" w:val="clear"/>
            <w:tcMar>
              <w:top w:type="dxa" w:w="50"/>
              <w:left w:type="dxa" w:w="80"/>
              <w:bottom w:type="dxa" w:w="50"/>
              <w:right w:type="dxa" w:w="80"/>
            </w:tcMar>
          </w:tcPr>
          <w:p>
            <w:pPr>
              <w:spacing w:after="40"/>
            </w:pPr>
            <w:r>
              <w:rPr>
                <w:b w:val="false"/>
                <w:bCs w:val="false"/>
                <w:color w:val="222222"/>
                <w:sz w:val="16"/>
                <w:szCs w:val="16"/>
              </w:rPr>
              <w:t xml:space="preserve">VOC has shifted from periodic surveys to continuous, AI-powered intelligence pulled from every sales, CS, support and community conversation; 73% of B2B SaaS product teams now use AI to synthesize feedback at least weekly (up from 19% in 2023). AI auto-clusters themes, dedupes requests and scores urgency, cutting synthesis from 8 hours/week to ~30 minutes. Corroborated by Canny, Perspective AI and others reporting the same shift.</w:t>
            </w:r>
          </w:p>
        </w:tc>
        <w:tc>
          <w:tcPr>
            <w:tcW w:type="dxa" w:w="2000"/>
            <w:shd w:fill="F4F8FD" w:color="auto" w:val="clear"/>
            <w:tcMar>
              <w:top w:type="dxa" w:w="50"/>
              <w:left w:type="dxa" w:w="80"/>
              <w:bottom w:type="dxa" w:w="50"/>
              <w:right w:type="dxa" w:w="80"/>
            </w:tcMar>
          </w:tcPr>
          <w:p>
            <w:pPr>
              <w:spacing w:after="40"/>
            </w:pPr>
            <w:r>
              <w:rPr>
                <w:b w:val="false"/>
                <w:bCs w:val="false"/>
                <w:color w:val="222222"/>
                <w:sz w:val="15"/>
                <w:szCs w:val="15"/>
              </w:rPr>
              <w:t xml:space="preserve">customer insights, product research, product intelligence — central: AI synthesis of unstructured customer signal.</w:t>
            </w:r>
          </w:p>
        </w:tc>
        <w:tc>
          <w:tcPr>
            <w:tcW w:type="dxa" w:w="1000"/>
            <w:shd w:fill="F4F8FD" w:color="auto" w:val="clear"/>
            <w:tcMar>
              <w:top w:type="dxa" w:w="50"/>
              <w:left w:type="dxa" w:w="80"/>
              <w:bottom w:type="dxa" w:w="50"/>
              <w:right w:type="dxa" w:w="80"/>
            </w:tcMar>
          </w:tcPr>
          <w:p>
            <w:r>
              <w:rPr>
                <w:b/>
                <w:bCs/>
                <w:color w:val="1F3A5F"/>
                <w:sz w:val="22"/>
                <w:szCs w:val="22"/>
              </w:rPr>
              <w:t xml:space="preserve">5</w:t>
            </w:r>
          </w:p>
          <w:p>
            <w:pPr>
              <w:spacing w:after="40"/>
            </w:pPr>
            <w:r>
              <w:rPr>
                <w:b w:val="false"/>
                <w:bCs w:val="false"/>
                <w:color w:val="2E7DD1"/>
                <w:sz w:val="14"/>
                <w:szCs w:val="14"/>
              </w:rPr>
              <w:t xml:space="preserve">★★★★★</w:t>
            </w:r>
          </w:p>
        </w:tc>
        <w:tc>
          <w:tcPr>
            <w:tcW w:type="dxa" w:w="2300"/>
            <w:shd w:fill="F4F8FD" w:color="auto" w:val="clear"/>
            <w:tcMar>
              <w:top w:type="dxa" w:w="50"/>
              <w:left w:type="dxa" w:w="80"/>
              <w:bottom w:type="dxa" w:w="50"/>
              <w:right w:type="dxa" w:w="80"/>
            </w:tcMar>
          </w:tcPr>
          <w:p>
            <w:pPr>
              <w:spacing w:after="40"/>
            </w:pPr>
            <w:r>
              <w:rPr>
                <w:b w:val="false"/>
                <w:bCs w:val="false"/>
                <w:color w:val="222222"/>
                <w:sz w:val="16"/>
                <w:szCs w:val="16"/>
              </w:rPr>
              <w:t xml:space="preserve">SEO blog on “continuous VOC”; quick-hit social stat (73% synthesize weekly); sales enablement one-pager; gated report or benchmark.</w:t>
            </w:r>
          </w:p>
        </w:tc>
        <w:tc>
          <w:tcPr>
            <w:tcW w:type="dxa" w:w="2300"/>
            <w:shd w:fill="F4F8FD" w:color="auto" w:val="clear"/>
            <w:tcMar>
              <w:top w:type="dxa" w:w="50"/>
              <w:left w:type="dxa" w:w="80"/>
              <w:bottom w:type="dxa" w:w="50"/>
              <w:right w:type="dxa" w:w="80"/>
            </w:tcMar>
          </w:tcPr>
          <w:p>
            <w:pPr>
              <w:spacing w:after="40"/>
            </w:pPr>
            <w:r>
              <w:rPr>
                <w:b w:val="false"/>
                <w:bCs w:val="false"/>
                <w:color w:val="222222"/>
                <w:sz w:val="16"/>
                <w:szCs w:val="16"/>
              </w:rPr>
              <w:t xml:space="preserve">This is precisely what the Winware.ai acquisition delivers — AI synthesis of surveys, Gong calls and CRM into structured intelligence. The market has adopted the behavior; ProductPlan should claim the category language of “continuous product intelligence.”</w:t>
            </w:r>
          </w:p>
        </w:tc>
      </w:tr>
      <w:tr>
        <w:tc>
          <w:tcPr>
            <w:tcW w:type="dxa" w:w="2600"/>
            <w:tcMar>
              <w:top w:type="dxa" w:w="50"/>
              <w:left w:type="dxa" w:w="80"/>
              <w:bottom w:type="dxa" w:w="50"/>
              <w:right w:type="dxa" w:w="80"/>
            </w:tcMar>
          </w:tcPr>
          <w:p>
            <w:pPr>
              <w:spacing w:after="40"/>
            </w:pPr>
            <w:hyperlink w:history="1" r:id="rIdmhyfrpoidi3nluhp-tb3p">
              <w:r>
                <w:rPr>
                  <w:rStyle w:val="Hyperlink"/>
                  <w:b/>
                  <w:bCs/>
                  <w:color w:val="2E7DD1"/>
                  <w:sz w:val="16"/>
                  <w:szCs w:val="16"/>
                </w:rPr>
                <w:t xml:space="preserve">When Prioritization Turns Political: How Product Leaders Can Take Back Control</w:t>
              </w:r>
            </w:hyperlink>
          </w:p>
          <w:p>
            <w:pPr>
              <w:spacing w:after="40"/>
            </w:pPr>
            <w:r>
              <w:rPr>
                <w:b w:val="false"/>
                <w:bCs w:val="false"/>
                <w:color w:val="666666"/>
                <w:sz w:val="14"/>
                <w:szCs w:val="14"/>
              </w:rPr>
              <w:t xml:space="preserve">Pragmatic Institute (webinar)</w:t>
            </w:r>
          </w:p>
        </w:tc>
        <w:tc>
          <w:tcPr>
            <w:tcW w:type="dxa" w:w="900"/>
            <w:tcMar>
              <w:top w:type="dxa" w:w="50"/>
              <w:left w:type="dxa" w:w="80"/>
              <w:bottom w:type="dxa" w:w="50"/>
              <w:right w:type="dxa" w:w="80"/>
            </w:tcMar>
          </w:tcPr>
          <w:p>
            <w:pPr>
              <w:spacing w:after="40"/>
            </w:pPr>
            <w:r>
              <w:rPr>
                <w:b w:val="false"/>
                <w:bCs w:val="false"/>
                <w:color w:val="222222"/>
                <w:sz w:val="15"/>
                <w:szCs w:val="15"/>
              </w:rPr>
              <w:t xml:space="preserve">Jul 2026</w:t>
            </w:r>
          </w:p>
        </w:tc>
        <w:tc>
          <w:tcPr>
            <w:tcW w:type="dxa" w:w="3300"/>
            <w:tcMar>
              <w:top w:type="dxa" w:w="50"/>
              <w:left w:type="dxa" w:w="80"/>
              <w:bottom w:type="dxa" w:w="50"/>
              <w:right w:type="dxa" w:w="80"/>
            </w:tcMar>
          </w:tcPr>
          <w:p>
            <w:pPr>
              <w:spacing w:after="40"/>
            </w:pPr>
            <w:r>
              <w:rPr>
                <w:b w:val="false"/>
                <w:bCs w:val="false"/>
                <w:color w:val="222222"/>
                <w:sz w:val="16"/>
                <w:szCs w:val="16"/>
              </w:rPr>
              <w:t xml:space="preserve">Pragmatic frames prioritization as increasingly political — loudest-voice and HiPPO dynamics override evidence — and coaches leaders to reclaim control with defensible frameworks. The session targets exactly the disjointed-prioritization pain of senior PMs. It reinforces demand for evidence-based decision tooling.</w:t>
            </w:r>
          </w:p>
        </w:tc>
        <w:tc>
          <w:tcPr>
            <w:tcW w:type="dxa" w:w="2000"/>
            <w:tcMar>
              <w:top w:type="dxa" w:w="50"/>
              <w:left w:type="dxa" w:w="80"/>
              <w:bottom w:type="dxa" w:w="50"/>
              <w:right w:type="dxa" w:w="80"/>
            </w:tcMar>
          </w:tcPr>
          <w:p>
            <w:pPr>
              <w:spacing w:after="40"/>
            </w:pPr>
            <w:r>
              <w:rPr>
                <w:b w:val="false"/>
                <w:bCs w:val="false"/>
                <w:color w:val="222222"/>
                <w:sz w:val="15"/>
                <w:szCs w:val="15"/>
              </w:rPr>
              <w:t xml:space="preserve">product prioritization, product intelligence — central to the session’s premise.</w:t>
            </w:r>
          </w:p>
        </w:tc>
        <w:tc>
          <w:tcPr>
            <w:tcW w:type="dxa" w:w="1000"/>
            <w:tcMar>
              <w:top w:type="dxa" w:w="50"/>
              <w:left w:type="dxa" w:w="80"/>
              <w:bottom w:type="dxa" w:w="50"/>
              <w:right w:type="dxa" w:w="80"/>
            </w:tcMar>
          </w:tcPr>
          <w:p>
            <w:r>
              <w:rPr>
                <w:b/>
                <w:bCs/>
                <w:color w:val="1F3A5F"/>
                <w:sz w:val="22"/>
                <w:szCs w:val="22"/>
              </w:rPr>
              <w:t xml:space="preserve">4</w:t>
            </w:r>
          </w:p>
          <w:p>
            <w:pPr>
              <w:spacing w:after="40"/>
            </w:pPr>
            <w:r>
              <w:rPr>
                <w:b w:val="false"/>
                <w:bCs w:val="false"/>
                <w:color w:val="2E7DD1"/>
                <w:sz w:val="14"/>
                <w:szCs w:val="14"/>
              </w:rPr>
              <w:t xml:space="preserve">★★★★☆</w:t>
            </w:r>
          </w:p>
        </w:tc>
        <w:tc>
          <w:tcPr>
            <w:tcW w:type="dxa" w:w="2300"/>
            <w:tcMar>
              <w:top w:type="dxa" w:w="50"/>
              <w:left w:type="dxa" w:w="80"/>
              <w:bottom w:type="dxa" w:w="50"/>
              <w:right w:type="dxa" w:w="80"/>
            </w:tcMar>
          </w:tcPr>
          <w:p>
            <w:pPr>
              <w:spacing w:after="40"/>
            </w:pPr>
            <w:r>
              <w:rPr>
                <w:b w:val="false"/>
                <w:bCs w:val="false"/>
                <w:color w:val="222222"/>
                <w:sz w:val="16"/>
                <w:szCs w:val="16"/>
              </w:rPr>
              <w:t xml:space="preserve">Co-marketing/LinkedIn POV; blog “De-politicizing the roadmap”; sales talking point mapped to the ICP’s top pain; webinar of your own.</w:t>
            </w:r>
          </w:p>
        </w:tc>
        <w:tc>
          <w:tcPr>
            <w:tcW w:type="dxa" w:w="2300"/>
            <w:tcMar>
              <w:top w:type="dxa" w:w="50"/>
              <w:left w:type="dxa" w:w="80"/>
              <w:bottom w:type="dxa" w:w="50"/>
              <w:right w:type="dxa" w:w="80"/>
            </w:tcMar>
          </w:tcPr>
          <w:p>
            <w:pPr>
              <w:spacing w:after="40"/>
            </w:pPr>
            <w:r>
              <w:rPr>
                <w:b w:val="false"/>
                <w:bCs w:val="false"/>
                <w:color w:val="222222"/>
                <w:sz w:val="16"/>
                <w:szCs w:val="16"/>
              </w:rPr>
              <w:t xml:space="preserve">ProductPlan’s prioritization module + Winware evidence lets leaders replace politics with customer-weighted data (e.g., 15 enterprise renewals vs. one loud free user). Directly answers the “not using data to decide” pain point.</w:t>
            </w:r>
          </w:p>
        </w:tc>
      </w:tr>
      <w:tr>
        <w:tc>
          <w:tcPr>
            <w:tcW w:type="dxa" w:w="2600"/>
            <w:shd w:fill="F4F8FD" w:color="auto" w:val="clear"/>
            <w:tcMar>
              <w:top w:type="dxa" w:w="50"/>
              <w:left w:type="dxa" w:w="80"/>
              <w:bottom w:type="dxa" w:w="50"/>
              <w:right w:type="dxa" w:w="80"/>
            </w:tcMar>
          </w:tcPr>
          <w:p>
            <w:pPr>
              <w:spacing w:after="40"/>
            </w:pPr>
            <w:hyperlink w:history="1" r:id="rIdbwdpm2chitslkuksavycd">
              <w:r>
                <w:rPr>
                  <w:rStyle w:val="Hyperlink"/>
                  <w:b/>
                  <w:bCs/>
                  <w:color w:val="2E7DD1"/>
                  <w:sz w:val="16"/>
                  <w:szCs w:val="16"/>
                </w:rPr>
                <w:t xml:space="preserve">Product Intelligence Buyers Guide 2026 (Leaders: Contentsquare, Pendo, Adobe)</w:t>
              </w:r>
            </w:hyperlink>
          </w:p>
          <w:p>
            <w:pPr>
              <w:spacing w:after="40"/>
            </w:pPr>
            <w:r>
              <w:rPr>
                <w:b w:val="false"/>
                <w:bCs w:val="false"/>
                <w:color w:val="666666"/>
                <w:sz w:val="14"/>
                <w:szCs w:val="14"/>
              </w:rPr>
              <w:t xml:space="preserve">ISG Research</w:t>
            </w:r>
          </w:p>
        </w:tc>
        <w:tc>
          <w:tcPr>
            <w:tcW w:type="dxa" w:w="900"/>
            <w:shd w:fill="F4F8FD" w:color="auto" w:val="clear"/>
            <w:tcMar>
              <w:top w:type="dxa" w:w="50"/>
              <w:left w:type="dxa" w:w="80"/>
              <w:bottom w:type="dxa" w:w="50"/>
              <w:right w:type="dxa" w:w="80"/>
            </w:tcMar>
          </w:tcPr>
          <w:p>
            <w:pPr>
              <w:spacing w:after="40"/>
            </w:pPr>
            <w:r>
              <w:rPr>
                <w:b w:val="false"/>
                <w:bCs w:val="false"/>
                <w:color w:val="222222"/>
                <w:sz w:val="15"/>
                <w:szCs w:val="15"/>
              </w:rPr>
              <w:t xml:space="preserve">2026</w:t>
            </w:r>
          </w:p>
        </w:tc>
        <w:tc>
          <w:tcPr>
            <w:tcW w:type="dxa" w:w="3300"/>
            <w:shd w:fill="F4F8FD" w:color="auto" w:val="clear"/>
            <w:tcMar>
              <w:top w:type="dxa" w:w="50"/>
              <w:left w:type="dxa" w:w="80"/>
              <w:bottom w:type="dxa" w:w="50"/>
              <w:right w:type="dxa" w:w="80"/>
            </w:tcMar>
          </w:tcPr>
          <w:p>
            <w:pPr>
              <w:spacing w:after="40"/>
            </w:pPr>
            <w:r>
              <w:rPr>
                <w:b w:val="false"/>
                <w:bCs w:val="false"/>
                <w:color w:val="222222"/>
                <w:sz w:val="16"/>
                <w:szCs w:val="16"/>
              </w:rPr>
              <w:t xml:space="preserve">Analyst coverage of “product intelligence” names behavioral-analytics vendors (Contentsquare, Pendo, Adobe, Amplitude, UXCam) as category leaders. The term “product intelligence platform” is being claimed by the analytics camp, not the roadmapping/decision camp. This creates a positioning collision for ProductPlan’s rebrand.</w:t>
            </w:r>
          </w:p>
        </w:tc>
        <w:tc>
          <w:tcPr>
            <w:tcW w:type="dxa" w:w="2000"/>
            <w:shd w:fill="F4F8FD" w:color="auto" w:val="clear"/>
            <w:tcMar>
              <w:top w:type="dxa" w:w="50"/>
              <w:left w:type="dxa" w:w="80"/>
              <w:bottom w:type="dxa" w:w="50"/>
              <w:right w:type="dxa" w:w="80"/>
            </w:tcMar>
          </w:tcPr>
          <w:p>
            <w:pPr>
              <w:spacing w:after="40"/>
            </w:pPr>
            <w:r>
              <w:rPr>
                <w:b w:val="false"/>
                <w:bCs w:val="false"/>
                <w:color w:val="222222"/>
                <w:sz w:val="15"/>
                <w:szCs w:val="15"/>
              </w:rPr>
              <w:t xml:space="preserve">"product intelligence platform" — central, but defined as behavioral analytics.</w:t>
            </w:r>
          </w:p>
        </w:tc>
        <w:tc>
          <w:tcPr>
            <w:tcW w:type="dxa" w:w="1000"/>
            <w:shd w:fill="F4F8FD" w:color="auto" w:val="clear"/>
            <w:tcMar>
              <w:top w:type="dxa" w:w="50"/>
              <w:left w:type="dxa" w:w="80"/>
              <w:bottom w:type="dxa" w:w="50"/>
              <w:right w:type="dxa" w:w="80"/>
            </w:tcMar>
          </w:tcPr>
          <w:p>
            <w:r>
              <w:rPr>
                <w:b/>
                <w:bCs/>
                <w:color w:val="1F3A5F"/>
                <w:sz w:val="22"/>
                <w:szCs w:val="22"/>
              </w:rPr>
              <w:t xml:space="preserve">4</w:t>
            </w:r>
          </w:p>
          <w:p>
            <w:pPr>
              <w:spacing w:after="40"/>
            </w:pPr>
            <w:r>
              <w:rPr>
                <w:b w:val="false"/>
                <w:bCs w:val="false"/>
                <w:color w:val="2E7DD1"/>
                <w:sz w:val="14"/>
                <w:szCs w:val="14"/>
              </w:rPr>
              <w:t xml:space="preserve">★★★★☆</w:t>
            </w:r>
          </w:p>
        </w:tc>
        <w:tc>
          <w:tcPr>
            <w:tcW w:type="dxa" w:w="2300"/>
            <w:shd w:fill="F4F8FD" w:color="auto" w:val="clear"/>
            <w:tcMar>
              <w:top w:type="dxa" w:w="50"/>
              <w:left w:type="dxa" w:w="80"/>
              <w:bottom w:type="dxa" w:w="50"/>
              <w:right w:type="dxa" w:w="80"/>
            </w:tcMar>
          </w:tcPr>
          <w:p>
            <w:pPr>
              <w:spacing w:after="40"/>
            </w:pPr>
            <w:r>
              <w:rPr>
                <w:b w:val="false"/>
                <w:bCs w:val="false"/>
                <w:color w:val="222222"/>
                <w:sz w:val="16"/>
                <w:szCs w:val="16"/>
              </w:rPr>
              <w:t xml:space="preserve">Category-defining thought leadership; messaging/SEO audit; exec awareness of the naming collision; a “what product intelligence really means” POV.</w:t>
            </w:r>
          </w:p>
        </w:tc>
        <w:tc>
          <w:tcPr>
            <w:tcW w:type="dxa" w:w="2300"/>
            <w:shd w:fill="F4F8FD" w:color="auto" w:val="clear"/>
            <w:tcMar>
              <w:top w:type="dxa" w:w="50"/>
              <w:left w:type="dxa" w:w="80"/>
              <w:bottom w:type="dxa" w:w="50"/>
              <w:right w:type="dxa" w:w="80"/>
            </w:tcMar>
          </w:tcPr>
          <w:p>
            <w:pPr>
              <w:spacing w:after="40"/>
            </w:pPr>
            <w:r>
              <w:rPr>
                <w:b w:val="false"/>
                <w:bCs w:val="false"/>
                <w:color w:val="222222"/>
                <w:sz w:val="16"/>
                <w:szCs w:val="16"/>
              </w:rPr>
              <w:t xml:space="preserve">ProductPlan must actively differentiate “decision intelligence” (what/why to build) from analytics “behavioral intelligence” (how users click). Own the upstream-of-analytics narrative or risk being miscategorized against Pendo/Amplitude.</w:t>
            </w:r>
          </w:p>
        </w:tc>
      </w:tr>
      <w:tr>
        <w:tc>
          <w:tcPr>
            <w:tcW w:type="dxa" w:w="2600"/>
            <w:tcMar>
              <w:top w:type="dxa" w:w="50"/>
              <w:left w:type="dxa" w:w="80"/>
              <w:bottom w:type="dxa" w:w="50"/>
              <w:right w:type="dxa" w:w="80"/>
            </w:tcMar>
          </w:tcPr>
          <w:p>
            <w:pPr>
              <w:spacing w:after="40"/>
            </w:pPr>
            <w:hyperlink w:history="1" r:id="rIde20pd4naqjyxrxhdqcwcf">
              <w:r>
                <w:rPr>
                  <w:rStyle w:val="Hyperlink"/>
                  <w:b/>
                  <w:bCs/>
                  <w:color w:val="2E7DD1"/>
                  <w:sz w:val="16"/>
                  <w:szCs w:val="16"/>
                </w:rPr>
                <w:t xml:space="preserve">AI Evals Aren’t Optional Anymore</w:t>
              </w:r>
            </w:hyperlink>
          </w:p>
          <w:p>
            <w:pPr>
              <w:spacing w:after="40"/>
            </w:pPr>
            <w:r>
              <w:rPr>
                <w:b w:val="false"/>
                <w:bCs w:val="false"/>
                <w:color w:val="666666"/>
                <w:sz w:val="14"/>
                <w:szCs w:val="14"/>
              </w:rPr>
              <w:t xml:space="preserve">Reforge</w:t>
            </w:r>
          </w:p>
        </w:tc>
        <w:tc>
          <w:tcPr>
            <w:tcW w:type="dxa" w:w="900"/>
            <w:tcMar>
              <w:top w:type="dxa" w:w="50"/>
              <w:left w:type="dxa" w:w="80"/>
              <w:bottom w:type="dxa" w:w="50"/>
              <w:right w:type="dxa" w:w="80"/>
            </w:tcMar>
          </w:tcPr>
          <w:p>
            <w:pPr>
              <w:spacing w:after="40"/>
            </w:pPr>
            <w:r>
              <w:rPr>
                <w:b w:val="false"/>
                <w:bCs w:val="false"/>
                <w:color w:val="222222"/>
                <w:sz w:val="15"/>
                <w:szCs w:val="15"/>
              </w:rPr>
              <w:t xml:space="preserve">Jul 2026</w:t>
            </w:r>
          </w:p>
        </w:tc>
        <w:tc>
          <w:tcPr>
            <w:tcW w:type="dxa" w:w="3300"/>
            <w:tcMar>
              <w:top w:type="dxa" w:w="50"/>
              <w:left w:type="dxa" w:w="80"/>
              <w:bottom w:type="dxa" w:w="50"/>
              <w:right w:type="dxa" w:w="80"/>
            </w:tcMar>
          </w:tcPr>
          <w:p>
            <w:pPr>
              <w:spacing w:after="40"/>
            </w:pPr>
            <w:r>
              <w:rPr>
                <w:b w:val="false"/>
                <w:bCs w:val="false"/>
                <w:color w:val="222222"/>
                <w:sz w:val="16"/>
                <w:szCs w:val="16"/>
              </w:rPr>
              <w:t xml:space="preserve">Reforge argues that shipping an AI feature is now easy but making AI products consistently good is hard, launching a course on defining and measuring AI quality. 2026 is framed as the tipping point where AI use is table stakes. The signal: buyers increasingly scrutinize whether AI features actually work.</w:t>
            </w:r>
          </w:p>
        </w:tc>
        <w:tc>
          <w:tcPr>
            <w:tcW w:type="dxa" w:w="2000"/>
            <w:tcMar>
              <w:top w:type="dxa" w:w="50"/>
              <w:left w:type="dxa" w:w="80"/>
              <w:bottom w:type="dxa" w:w="50"/>
              <w:right w:type="dxa" w:w="80"/>
            </w:tcMar>
          </w:tcPr>
          <w:p>
            <w:pPr>
              <w:spacing w:after="40"/>
            </w:pPr>
            <w:r>
              <w:rPr>
                <w:b w:val="false"/>
                <w:bCs w:val="false"/>
                <w:color w:val="222222"/>
                <w:sz w:val="15"/>
                <w:szCs w:val="15"/>
              </w:rPr>
              <w:t xml:space="preserve">"AI product management" — central to the quality-of-AI thesis.</w:t>
            </w:r>
          </w:p>
        </w:tc>
        <w:tc>
          <w:tcPr>
            <w:tcW w:type="dxa" w:w="1000"/>
            <w:tcMar>
              <w:top w:type="dxa" w:w="50"/>
              <w:left w:type="dxa" w:w="80"/>
              <w:bottom w:type="dxa" w:w="50"/>
              <w:right w:type="dxa" w:w="80"/>
            </w:tcMar>
          </w:tcPr>
          <w:p>
            <w:r>
              <w:rPr>
                <w:b/>
                <w:bCs/>
                <w:color w:val="1F3A5F"/>
                <w:sz w:val="22"/>
                <w:szCs w:val="22"/>
              </w:rPr>
              <w:t xml:space="preserve">4</w:t>
            </w:r>
          </w:p>
          <w:p>
            <w:pPr>
              <w:spacing w:after="40"/>
            </w:pPr>
            <w:r>
              <w:rPr>
                <w:b w:val="false"/>
                <w:bCs w:val="false"/>
                <w:color w:val="2E7DD1"/>
                <w:sz w:val="14"/>
                <w:szCs w:val="14"/>
              </w:rPr>
              <w:t xml:space="preserve">★★★★☆</w:t>
            </w:r>
          </w:p>
        </w:tc>
        <w:tc>
          <w:tcPr>
            <w:tcW w:type="dxa" w:w="2300"/>
            <w:tcMar>
              <w:top w:type="dxa" w:w="50"/>
              <w:left w:type="dxa" w:w="80"/>
              <w:bottom w:type="dxa" w:w="50"/>
              <w:right w:type="dxa" w:w="80"/>
            </w:tcMar>
          </w:tcPr>
          <w:p>
            <w:pPr>
              <w:spacing w:after="40"/>
            </w:pPr>
            <w:r>
              <w:rPr>
                <w:b w:val="false"/>
                <w:bCs w:val="false"/>
                <w:color w:val="222222"/>
                <w:sz w:val="16"/>
                <w:szCs w:val="16"/>
              </w:rPr>
              <w:t xml:space="preserve">LinkedIn post on “AI you can trust”; blog on how ProductPlan evaluates its AI outputs; sales objection-handling around AI reliability.</w:t>
            </w:r>
          </w:p>
        </w:tc>
        <w:tc>
          <w:tcPr>
            <w:tcW w:type="dxa" w:w="2300"/>
            <w:tcMar>
              <w:top w:type="dxa" w:w="50"/>
              <w:left w:type="dxa" w:w="80"/>
              <w:bottom w:type="dxa" w:w="50"/>
              <w:right w:type="dxa" w:w="80"/>
            </w:tcMar>
          </w:tcPr>
          <w:p>
            <w:pPr>
              <w:spacing w:after="40"/>
            </w:pPr>
            <w:r>
              <w:rPr>
                <w:b w:val="false"/>
                <w:bCs w:val="false"/>
                <w:color w:val="222222"/>
                <w:sz w:val="16"/>
                <w:szCs w:val="16"/>
              </w:rPr>
              <w:t xml:space="preserve">As buyers get skeptical of AI hype, ProductPlan can lead with evidence-grounded, source-cited synthesis (Winware) rather than black-box generation — differentiating on trustworthy AI intelligence.</w:t>
            </w:r>
          </w:p>
        </w:tc>
      </w:tr>
      <w:tr>
        <w:tc>
          <w:tcPr>
            <w:tcW w:type="dxa" w:w="2600"/>
            <w:shd w:fill="F4F8FD" w:color="auto" w:val="clear"/>
            <w:tcMar>
              <w:top w:type="dxa" w:w="50"/>
              <w:left w:type="dxa" w:w="80"/>
              <w:bottom w:type="dxa" w:w="50"/>
              <w:right w:type="dxa" w:w="80"/>
            </w:tcMar>
          </w:tcPr>
          <w:p>
            <w:pPr>
              <w:spacing w:after="40"/>
            </w:pPr>
            <w:hyperlink w:history="1" r:id="rIdd3b-7wiq6uflfmg_acwgm">
              <w:r>
                <w:rPr>
                  <w:rStyle w:val="Hyperlink"/>
                  <w:b/>
                  <w:bCs/>
                  <w:color w:val="2E7DD1"/>
                  <w:sz w:val="16"/>
                  <w:szCs w:val="16"/>
                </w:rPr>
                <w:t xml:space="preserve">Does Your Pricing Model Still Work in 2026?</w:t>
              </w:r>
            </w:hyperlink>
          </w:p>
          <w:p>
            <w:pPr>
              <w:spacing w:after="40"/>
            </w:pPr>
            <w:r>
              <w:rPr>
                <w:b w:val="false"/>
                <w:bCs w:val="false"/>
                <w:color w:val="666666"/>
                <w:sz w:val="14"/>
                <w:szCs w:val="14"/>
              </w:rPr>
              <w:t xml:space="preserve">Pragmatic Institute (webinar)</w:t>
            </w:r>
          </w:p>
        </w:tc>
        <w:tc>
          <w:tcPr>
            <w:tcW w:type="dxa" w:w="900"/>
            <w:shd w:fill="F4F8FD" w:color="auto" w:val="clear"/>
            <w:tcMar>
              <w:top w:type="dxa" w:w="50"/>
              <w:left w:type="dxa" w:w="80"/>
              <w:bottom w:type="dxa" w:w="50"/>
              <w:right w:type="dxa" w:w="80"/>
            </w:tcMar>
          </w:tcPr>
          <w:p>
            <w:pPr>
              <w:spacing w:after="40"/>
            </w:pPr>
            <w:r>
              <w:rPr>
                <w:b w:val="false"/>
                <w:bCs w:val="false"/>
                <w:color w:val="222222"/>
                <w:sz w:val="15"/>
                <w:szCs w:val="15"/>
              </w:rPr>
              <w:t xml:space="preserve">Jul 2026</w:t>
            </w:r>
          </w:p>
        </w:tc>
        <w:tc>
          <w:tcPr>
            <w:tcW w:type="dxa" w:w="3300"/>
            <w:shd w:fill="F4F8FD" w:color="auto" w:val="clear"/>
            <w:tcMar>
              <w:top w:type="dxa" w:w="50"/>
              <w:left w:type="dxa" w:w="80"/>
              <w:bottom w:type="dxa" w:w="50"/>
              <w:right w:type="dxa" w:w="80"/>
            </w:tcMar>
          </w:tcPr>
          <w:p>
            <w:pPr>
              <w:spacing w:after="40"/>
            </w:pPr>
            <w:r>
              <w:rPr>
                <w:b w:val="false"/>
                <w:bCs w:val="false"/>
                <w:color w:val="222222"/>
                <w:sz w:val="16"/>
                <w:szCs w:val="16"/>
              </w:rPr>
              <w:t xml:space="preserve">Per-seat SaaS pricing is under pressure as AI reshapes usage, pushing teams toward usage- and outcome-based models. The session flags 2026 as a challenging year with tighter budgets and AI-savvy buyers. Relevant context for how ProductPlan’s own buyers evaluate spend.</w:t>
            </w:r>
          </w:p>
        </w:tc>
        <w:tc>
          <w:tcPr>
            <w:tcW w:type="dxa" w:w="2000"/>
            <w:shd w:fill="F4F8FD" w:color="auto" w:val="clear"/>
            <w:tcMar>
              <w:top w:type="dxa" w:w="50"/>
              <w:left w:type="dxa" w:w="80"/>
              <w:bottom w:type="dxa" w:w="50"/>
              <w:right w:type="dxa" w:w="80"/>
            </w:tcMar>
          </w:tcPr>
          <w:p>
            <w:pPr>
              <w:spacing w:after="40"/>
            </w:pPr>
            <w:r>
              <w:rPr>
                <w:b w:val="false"/>
                <w:bCs w:val="false"/>
                <w:color w:val="222222"/>
                <w:sz w:val="15"/>
                <w:szCs w:val="15"/>
              </w:rPr>
              <w:t xml:space="preserve">product management software (commercial context) — moderately central.</w:t>
            </w:r>
          </w:p>
        </w:tc>
        <w:tc>
          <w:tcPr>
            <w:tcW w:type="dxa" w:w="1000"/>
            <w:shd w:fill="F4F8FD" w:color="auto" w:val="clear"/>
            <w:tcMar>
              <w:top w:type="dxa" w:w="50"/>
              <w:left w:type="dxa" w:w="80"/>
              <w:bottom w:type="dxa" w:w="50"/>
              <w:right w:type="dxa" w:w="80"/>
            </w:tcMar>
          </w:tcPr>
          <w:p>
            <w:r>
              <w:rPr>
                <w:b/>
                <w:bCs/>
                <w:color w:val="1F3A5F"/>
                <w:sz w:val="22"/>
                <w:szCs w:val="22"/>
              </w:rPr>
              <w:t xml:space="preserve">3</w:t>
            </w:r>
          </w:p>
          <w:p>
            <w:pPr>
              <w:spacing w:after="40"/>
            </w:pPr>
            <w:r>
              <w:rPr>
                <w:b w:val="false"/>
                <w:bCs w:val="false"/>
                <w:color w:val="2E7DD1"/>
                <w:sz w:val="14"/>
                <w:szCs w:val="14"/>
              </w:rPr>
              <w:t xml:space="preserve">★★★☆☆</w:t>
            </w:r>
          </w:p>
        </w:tc>
        <w:tc>
          <w:tcPr>
            <w:tcW w:type="dxa" w:w="2300"/>
            <w:shd w:fill="F4F8FD" w:color="auto" w:val="clear"/>
            <w:tcMar>
              <w:top w:type="dxa" w:w="50"/>
              <w:left w:type="dxa" w:w="80"/>
              <w:bottom w:type="dxa" w:w="50"/>
              <w:right w:type="dxa" w:w="80"/>
            </w:tcMar>
          </w:tcPr>
          <w:p>
            <w:pPr>
              <w:spacing w:after="40"/>
            </w:pPr>
            <w:r>
              <w:rPr>
                <w:b w:val="false"/>
                <w:bCs w:val="false"/>
                <w:color w:val="222222"/>
                <w:sz w:val="16"/>
                <w:szCs w:val="16"/>
              </w:rPr>
              <w:t xml:space="preserve">Executive awareness; a POV on pricing product intelligence by outcome; sales framing for budget-conscious buyers.</w:t>
            </w:r>
          </w:p>
        </w:tc>
        <w:tc>
          <w:tcPr>
            <w:tcW w:type="dxa" w:w="2300"/>
            <w:shd w:fill="F4F8FD" w:color="auto" w:val="clear"/>
            <w:tcMar>
              <w:top w:type="dxa" w:w="50"/>
              <w:left w:type="dxa" w:w="80"/>
              <w:bottom w:type="dxa" w:w="50"/>
              <w:right w:type="dxa" w:w="80"/>
            </w:tcMar>
          </w:tcPr>
          <w:p>
            <w:pPr>
              <w:spacing w:after="40"/>
            </w:pPr>
            <w:r>
              <w:rPr>
                <w:b w:val="false"/>
                <w:bCs w:val="false"/>
                <w:color w:val="222222"/>
                <w:sz w:val="16"/>
                <w:szCs w:val="16"/>
              </w:rPr>
              <w:t xml:space="preserve">Supports an outcome-value narrative: ProductPlan should tie ROI to better decisions/fewer wrong bets rather than seats — aligning with where buyer budgets are heading.</w:t>
            </w:r>
          </w:p>
        </w:tc>
      </w:tr>
      <w:tr>
        <w:tc>
          <w:tcPr>
            <w:tcW w:type="dxa" w:w="2600"/>
            <w:tcMar>
              <w:top w:type="dxa" w:w="50"/>
              <w:left w:type="dxa" w:w="80"/>
              <w:bottom w:type="dxa" w:w="50"/>
              <w:right w:type="dxa" w:w="80"/>
            </w:tcMar>
          </w:tcPr>
          <w:p>
            <w:pPr>
              <w:spacing w:after="40"/>
            </w:pPr>
            <w:hyperlink w:history="1" r:id="rId5mqnspej2z08ttthced6p">
              <w:r>
                <w:rPr>
                  <w:rStyle w:val="Hyperlink"/>
                  <w:b/>
                  <w:bCs/>
                  <w:color w:val="2E7DD1"/>
                  <w:sz w:val="16"/>
                  <w:szCs w:val="16"/>
                </w:rPr>
                <w:t xml:space="preserve">The Product Manager Role Is Splitting: The Rise of Product Builders (Summer 2026)</w:t>
              </w:r>
            </w:hyperlink>
          </w:p>
          <w:p>
            <w:pPr>
              <w:spacing w:after="40"/>
            </w:pPr>
            <w:r>
              <w:rPr>
                <w:b w:val="false"/>
                <w:bCs w:val="false"/>
                <w:color w:val="666666"/>
                <w:sz w:val="14"/>
                <w:szCs w:val="14"/>
              </w:rPr>
              <w:t xml:space="preserve">Mind the Product</w:t>
            </w:r>
          </w:p>
        </w:tc>
        <w:tc>
          <w:tcPr>
            <w:tcW w:type="dxa" w:w="900"/>
            <w:tcMar>
              <w:top w:type="dxa" w:w="50"/>
              <w:left w:type="dxa" w:w="80"/>
              <w:bottom w:type="dxa" w:w="50"/>
              <w:right w:type="dxa" w:w="80"/>
            </w:tcMar>
          </w:tcPr>
          <w:p>
            <w:pPr>
              <w:spacing w:after="40"/>
            </w:pPr>
            <w:r>
              <w:rPr>
                <w:b w:val="false"/>
                <w:bCs w:val="false"/>
                <w:color w:val="222222"/>
                <w:sz w:val="15"/>
                <w:szCs w:val="15"/>
              </w:rPr>
              <w:t xml:space="preserve">Jul 2026</w:t>
            </w:r>
          </w:p>
        </w:tc>
        <w:tc>
          <w:tcPr>
            <w:tcW w:type="dxa" w:w="3300"/>
            <w:tcMar>
              <w:top w:type="dxa" w:w="50"/>
              <w:left w:type="dxa" w:w="80"/>
              <w:bottom w:type="dxa" w:w="50"/>
              <w:right w:type="dxa" w:w="80"/>
            </w:tcMar>
          </w:tcPr>
          <w:p>
            <w:pPr>
              <w:spacing w:after="40"/>
            </w:pPr>
            <w:r>
              <w:rPr>
                <w:b w:val="false"/>
                <w:bCs w:val="false"/>
                <w:color w:val="222222"/>
                <w:sz w:val="16"/>
                <w:szCs w:val="16"/>
              </w:rPr>
              <w:t xml:space="preserve">Mind the Product observes the PM role splitting, with hands-on “Product Builders” emerging from the traditional PM remit as AI collapses idea-to-execution distance. It reflects a broader identity shift in the profession. Signals evolving buyer language and needs.</w:t>
            </w:r>
          </w:p>
        </w:tc>
        <w:tc>
          <w:tcPr>
            <w:tcW w:type="dxa" w:w="2000"/>
            <w:tcMar>
              <w:top w:type="dxa" w:w="50"/>
              <w:left w:type="dxa" w:w="80"/>
              <w:bottom w:type="dxa" w:w="50"/>
              <w:right w:type="dxa" w:w="80"/>
            </w:tcMar>
          </w:tcPr>
          <w:p>
            <w:pPr>
              <w:spacing w:after="40"/>
            </w:pPr>
            <w:r>
              <w:rPr>
                <w:b w:val="false"/>
                <w:bCs w:val="false"/>
                <w:color w:val="222222"/>
                <w:sz w:val="15"/>
                <w:szCs w:val="15"/>
              </w:rPr>
              <w:t xml:space="preserve">product led development, AI product management — central to the role-evolution theme.</w:t>
            </w:r>
          </w:p>
        </w:tc>
        <w:tc>
          <w:tcPr>
            <w:tcW w:type="dxa" w:w="1000"/>
            <w:tcMar>
              <w:top w:type="dxa" w:w="50"/>
              <w:left w:type="dxa" w:w="80"/>
              <w:bottom w:type="dxa" w:w="50"/>
              <w:right w:type="dxa" w:w="80"/>
            </w:tcMar>
          </w:tcPr>
          <w:p>
            <w:r>
              <w:rPr>
                <w:b/>
                <w:bCs/>
                <w:color w:val="1F3A5F"/>
                <w:sz w:val="22"/>
                <w:szCs w:val="22"/>
              </w:rPr>
              <w:t xml:space="preserve">3</w:t>
            </w:r>
          </w:p>
          <w:p>
            <w:pPr>
              <w:spacing w:after="40"/>
            </w:pPr>
            <w:r>
              <w:rPr>
                <w:b w:val="false"/>
                <w:bCs w:val="false"/>
                <w:color w:val="2E7DD1"/>
                <w:sz w:val="14"/>
                <w:szCs w:val="14"/>
              </w:rPr>
              <w:t xml:space="preserve">★★★☆☆</w:t>
            </w:r>
          </w:p>
        </w:tc>
        <w:tc>
          <w:tcPr>
            <w:tcW w:type="dxa" w:w="2300"/>
            <w:tcMar>
              <w:top w:type="dxa" w:w="50"/>
              <w:left w:type="dxa" w:w="80"/>
              <w:bottom w:type="dxa" w:w="50"/>
              <w:right w:type="dxa" w:w="80"/>
            </w:tcMar>
          </w:tcPr>
          <w:p>
            <w:pPr>
              <w:spacing w:after="40"/>
            </w:pPr>
            <w:r>
              <w:rPr>
                <w:b w:val="false"/>
                <w:bCs w:val="false"/>
                <w:color w:val="222222"/>
                <w:sz w:val="16"/>
                <w:szCs w:val="16"/>
              </w:rPr>
              <w:t xml:space="preserve">Quick-hit social on the evolving PM role; blog on what “Product Builders” need from an intelligence layer; audience-segmentation input.</w:t>
            </w:r>
          </w:p>
        </w:tc>
        <w:tc>
          <w:tcPr>
            <w:tcW w:type="dxa" w:w="2300"/>
            <w:tcMar>
              <w:top w:type="dxa" w:w="50"/>
              <w:left w:type="dxa" w:w="80"/>
              <w:bottom w:type="dxa" w:w="50"/>
              <w:right w:type="dxa" w:w="80"/>
            </w:tcMar>
          </w:tcPr>
          <w:p>
            <w:pPr>
              <w:spacing w:after="40"/>
            </w:pPr>
            <w:r>
              <w:rPr>
                <w:b w:val="false"/>
                <w:bCs w:val="false"/>
                <w:color w:val="222222"/>
                <w:sz w:val="16"/>
                <w:szCs w:val="16"/>
              </w:rPr>
              <w:t xml:space="preserve">As execution gets cheaper, judgment and “what to build” get scarcer — exactly the layer ProductPlan owns. Position the platform for the strategy-and-intelligence half of the splitting role.</w:t>
            </w:r>
          </w:p>
        </w:tc>
      </w:tr>
      <w:tr>
        <w:tc>
          <w:tcPr>
            <w:tcW w:type="dxa" w:w="2600"/>
            <w:shd w:fill="F4F8FD" w:color="auto" w:val="clear"/>
            <w:tcMar>
              <w:top w:type="dxa" w:w="50"/>
              <w:left w:type="dxa" w:w="80"/>
              <w:bottom w:type="dxa" w:w="50"/>
              <w:right w:type="dxa" w:w="80"/>
            </w:tcMar>
          </w:tcPr>
          <w:p>
            <w:pPr>
              <w:spacing w:after="40"/>
            </w:pPr>
            <w:hyperlink w:history="1" r:id="rId5k8epfobpkfept0131ong">
              <w:r>
                <w:rPr>
                  <w:rStyle w:val="Hyperlink"/>
                  <w:b/>
                  <w:bCs/>
                  <w:color w:val="2E7DD1"/>
                  <w:sz w:val="16"/>
                  <w:szCs w:val="16"/>
                </w:rPr>
                <w:t xml:space="preserve">The AI Product Management Workflows Every PM Needs in 2026</w:t>
              </w:r>
            </w:hyperlink>
          </w:p>
          <w:p>
            <w:pPr>
              <w:spacing w:after="40"/>
            </w:pPr>
            <w:r>
              <w:rPr>
                <w:b w:val="false"/>
                <w:bCs w:val="false"/>
                <w:color w:val="666666"/>
                <w:sz w:val="14"/>
                <w:szCs w:val="14"/>
              </w:rPr>
              <w:t xml:space="preserve">Productside</w:t>
            </w:r>
          </w:p>
        </w:tc>
        <w:tc>
          <w:tcPr>
            <w:tcW w:type="dxa" w:w="900"/>
            <w:shd w:fill="F4F8FD" w:color="auto" w:val="clear"/>
            <w:tcMar>
              <w:top w:type="dxa" w:w="50"/>
              <w:left w:type="dxa" w:w="80"/>
              <w:bottom w:type="dxa" w:w="50"/>
              <w:right w:type="dxa" w:w="80"/>
            </w:tcMar>
          </w:tcPr>
          <w:p>
            <w:pPr>
              <w:spacing w:after="40"/>
            </w:pPr>
            <w:r>
              <w:rPr>
                <w:b w:val="false"/>
                <w:bCs w:val="false"/>
                <w:color w:val="222222"/>
                <w:sz w:val="15"/>
                <w:szCs w:val="15"/>
              </w:rPr>
              <w:t xml:space="preserve">Jul 2026</w:t>
            </w:r>
          </w:p>
        </w:tc>
        <w:tc>
          <w:tcPr>
            <w:tcW w:type="dxa" w:w="3300"/>
            <w:shd w:fill="F4F8FD" w:color="auto" w:val="clear"/>
            <w:tcMar>
              <w:top w:type="dxa" w:w="50"/>
              <w:left w:type="dxa" w:w="80"/>
              <w:bottom w:type="dxa" w:w="50"/>
              <w:right w:type="dxa" w:w="80"/>
            </w:tcMar>
          </w:tcPr>
          <w:p>
            <w:pPr>
              <w:spacing w:after="40"/>
            </w:pPr>
            <w:r>
              <w:rPr>
                <w:b w:val="false"/>
                <w:bCs w:val="false"/>
                <w:color w:val="222222"/>
                <w:sz w:val="16"/>
                <w:szCs w:val="16"/>
              </w:rPr>
              <w:t xml:space="preserve">Productside argues AI workflows are the new PM differentiator for teams that want to move fast while staying grounded in real data. It stresses AI as a solution in service of strategy, not the strategy itself. Practical framing that echoes ProductPlan’s positioning.</w:t>
            </w:r>
          </w:p>
        </w:tc>
        <w:tc>
          <w:tcPr>
            <w:tcW w:type="dxa" w:w="2000"/>
            <w:shd w:fill="F4F8FD" w:color="auto" w:val="clear"/>
            <w:tcMar>
              <w:top w:type="dxa" w:w="50"/>
              <w:left w:type="dxa" w:w="80"/>
              <w:bottom w:type="dxa" w:w="50"/>
              <w:right w:type="dxa" w:w="80"/>
            </w:tcMar>
          </w:tcPr>
          <w:p>
            <w:pPr>
              <w:spacing w:after="40"/>
            </w:pPr>
            <w:r>
              <w:rPr>
                <w:b w:val="false"/>
                <w:bCs w:val="false"/>
                <w:color w:val="222222"/>
                <w:sz w:val="15"/>
                <w:szCs w:val="15"/>
              </w:rPr>
              <w:t xml:space="preserve">"AI product management", product prioritization AI — central.</w:t>
            </w:r>
          </w:p>
        </w:tc>
        <w:tc>
          <w:tcPr>
            <w:tcW w:type="dxa" w:w="1000"/>
            <w:shd w:fill="F4F8FD" w:color="auto" w:val="clear"/>
            <w:tcMar>
              <w:top w:type="dxa" w:w="50"/>
              <w:left w:type="dxa" w:w="80"/>
              <w:bottom w:type="dxa" w:w="50"/>
              <w:right w:type="dxa" w:w="80"/>
            </w:tcMar>
          </w:tcPr>
          <w:p>
            <w:r>
              <w:rPr>
                <w:b/>
                <w:bCs/>
                <w:color w:val="1F3A5F"/>
                <w:sz w:val="22"/>
                <w:szCs w:val="22"/>
              </w:rPr>
              <w:t xml:space="preserve">3</w:t>
            </w:r>
          </w:p>
          <w:p>
            <w:pPr>
              <w:spacing w:after="40"/>
            </w:pPr>
            <w:r>
              <w:rPr>
                <w:b w:val="false"/>
                <w:bCs w:val="false"/>
                <w:color w:val="2E7DD1"/>
                <w:sz w:val="14"/>
                <w:szCs w:val="14"/>
              </w:rPr>
              <w:t xml:space="preserve">★★★☆☆</w:t>
            </w:r>
          </w:p>
        </w:tc>
        <w:tc>
          <w:tcPr>
            <w:tcW w:type="dxa" w:w="2300"/>
            <w:shd w:fill="F4F8FD" w:color="auto" w:val="clear"/>
            <w:tcMar>
              <w:top w:type="dxa" w:w="50"/>
              <w:left w:type="dxa" w:w="80"/>
              <w:bottom w:type="dxa" w:w="50"/>
              <w:right w:type="dxa" w:w="80"/>
            </w:tcMar>
          </w:tcPr>
          <w:p>
            <w:pPr>
              <w:spacing w:after="40"/>
            </w:pPr>
            <w:r>
              <w:rPr>
                <w:b w:val="false"/>
                <w:bCs w:val="false"/>
                <w:color w:val="222222"/>
                <w:sz w:val="16"/>
                <w:szCs w:val="16"/>
              </w:rPr>
              <w:t xml:space="preserve">Blog/SEO on AI workflows grounded in evidence; social carousel of PM AI workflows; nurture content.</w:t>
            </w:r>
          </w:p>
        </w:tc>
        <w:tc>
          <w:tcPr>
            <w:tcW w:type="dxa" w:w="2300"/>
            <w:shd w:fill="F4F8FD" w:color="auto" w:val="clear"/>
            <w:tcMar>
              <w:top w:type="dxa" w:w="50"/>
              <w:left w:type="dxa" w:w="80"/>
              <w:bottom w:type="dxa" w:w="50"/>
              <w:right w:type="dxa" w:w="80"/>
            </w:tcMar>
          </w:tcPr>
          <w:p>
            <w:pPr>
              <w:spacing w:after="40"/>
            </w:pPr>
            <w:r>
              <w:rPr>
                <w:b w:val="false"/>
                <w:bCs w:val="false"/>
                <w:color w:val="222222"/>
                <w:sz w:val="16"/>
                <w:szCs w:val="16"/>
              </w:rPr>
              <w:t xml:space="preserve">“Grounded in real data” is the Winware value prop. ProductPlan can supply the evidence layer that keeps AI workflows tethered to actual customer signal.</w:t>
            </w:r>
          </w:p>
        </w:tc>
      </w:tr>
    </w:tbl>
    <w:p>
      <w:pPr>
        <w:pStyle w:val="Heading1"/>
        <w:spacing w:after="120" w:before="240"/>
      </w:pPr>
      <w:r>
        <w:rPr>
          <w:b/>
          <w:bCs/>
          <w:color w:val="1F3A5F"/>
        </w:rPr>
        <w:t xml:space="preserve">Recommended Next Actions</w:t>
      </w:r>
    </w:p>
    <w:p>
      <w:pPr>
        <w:pStyle w:val="ListParagraph"/>
        <w:numPr>
          <w:ilvl w:val="0"/>
          <w:numId w:val="1"/>
        </w:numPr>
        <w:spacing w:after="80"/>
      </w:pPr>
      <w:r>
        <w:rPr>
          <w:sz w:val="20"/>
          <w:szCs w:val="20"/>
        </w:rPr>
        <w:t xml:space="preserve">Refresh the Atlassian and Monday.com battlecards this week around the “execution context vs. customer-evidence intelligence” wedge; arm sales with a one-line rebuttal to each competitor’s AI launch.</w:t>
      </w:r>
    </w:p>
    <w:p>
      <w:pPr>
        <w:pStyle w:val="ListParagraph"/>
        <w:numPr>
          <w:ilvl w:val="0"/>
          <w:numId w:val="1"/>
        </w:numPr>
        <w:spacing w:after="80"/>
      </w:pPr>
      <w:r>
        <w:rPr>
          <w:sz w:val="20"/>
          <w:szCs w:val="20"/>
        </w:rPr>
        <w:t xml:space="preserve">Publish a founder/CEO LinkedIn POV riding the SVPG “AI Productivity Paradox” wave — output vs. outcomes — and route ProductPlan as the outcome/decision layer. Highest-leverage reactive content this week.</w:t>
      </w:r>
    </w:p>
    <w:p>
      <w:pPr>
        <w:pStyle w:val="ListParagraph"/>
        <w:numPr>
          <w:ilvl w:val="0"/>
          <w:numId w:val="1"/>
        </w:numPr>
        <w:spacing w:after="80"/>
      </w:pPr>
      <w:r>
        <w:rPr>
          <w:sz w:val="20"/>
          <w:szCs w:val="20"/>
        </w:rPr>
        <w:t xml:space="preserve">Ship an SEO/blog asset on “continuous product intelligence” anchored to the 73%-synthesize-weekly stat; use it to claim category language before analytics vendors cement “product intelligence = analytics.”</w:t>
      </w:r>
    </w:p>
    <w:p>
      <w:pPr>
        <w:pStyle w:val="ListParagraph"/>
        <w:numPr>
          <w:ilvl w:val="0"/>
          <w:numId w:val="1"/>
        </w:numPr>
        <w:spacing w:after="80"/>
      </w:pPr>
      <w:r>
        <w:rPr>
          <w:sz w:val="20"/>
          <w:szCs w:val="20"/>
        </w:rPr>
        <w:t xml:space="preserve">Commission a short messaging audit to sharpen “decision intelligence vs. behavioral analytics” differentiation; align homepage/AEO copy so ProductPlan is not indexed against Pendo/Amplitude.</w:t>
      </w:r>
    </w:p>
    <w:p>
      <w:pPr>
        <w:pStyle w:val="ListParagraph"/>
        <w:numPr>
          <w:ilvl w:val="0"/>
          <w:numId w:val="1"/>
        </w:numPr>
        <w:spacing w:after="80"/>
      </w:pPr>
      <w:r>
        <w:rPr>
          <w:sz w:val="20"/>
          <w:szCs w:val="20"/>
        </w:rPr>
        <w:t xml:space="preserve">Build a webinar/nurture track on de-politicizing prioritization (Pragmatic’s theme) that demonstrates Winware-weighted, evidence-based prioritization against the ICP’s top pain point.</w:t>
      </w:r>
    </w:p>
    <w:p>
      <w:pPr>
        <w:spacing w:before="240"/>
      </w:pPr>
      <w:r>
        <w:rPr>
          <w:i/>
          <w:iCs/>
          <w:color w:val="888888"/>
          <w:sz w:val="16"/>
          <w:szCs w:val="16"/>
        </w:rPr>
        <w:t xml:space="preserve">Sources are hyperlinked in the table above. Next scheduled run: Monday, August 3, 2026.</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wb4xnvascap0tdfur-d7" Type="http://schemas.openxmlformats.org/officeDocument/2006/relationships/hyperlink" Target="https://www.devopsdigest.com/atlassian-announces-system-for-ai-native-software-development-in-jira" TargetMode="External"/><Relationship Id="rId1hnln1rfix_-mtgwshgfl" Type="http://schemas.openxmlformats.org/officeDocument/2006/relationships/hyperlink" Target="https://www.tipranks.com/news/company-announcements/monday-com-launches-july-2026-restructuring-to-sharpen-focus-on-ai-work-platform" TargetMode="External"/><Relationship Id="rIdsfepiuzvq_pcqmcshvv28" Type="http://schemas.openxmlformats.org/officeDocument/2006/relationships/hyperlink" Target="https://www.svpg.com/the-ai-productivity-paradox/" TargetMode="External"/><Relationship Id="rIdjyjmbici84kqj2qgodgno" Type="http://schemas.openxmlformats.org/officeDocument/2006/relationships/hyperlink" Target="https://blog.buildbetter.ai/voice-of-customer-in-2026-how-b2b-product-teams-actually-use-voc/" TargetMode="External"/><Relationship Id="rIdmhyfrpoidi3nluhp-tb3p" Type="http://schemas.openxmlformats.org/officeDocument/2006/relationships/hyperlink" Target="https://www.pragmaticinstitute.com/resources/webinars/product/when-prioritization-turns-political-how-product-leaders-can-take-back-control/" TargetMode="External"/><Relationship Id="rIdbwdpm2chitslkuksavycd" Type="http://schemas.openxmlformats.org/officeDocument/2006/relationships/hyperlink" Target="https://research.isg-one.com/buyers-guide/business-technologies/operations-and-supply-chain/product-intelligence/2026" TargetMode="External"/><Relationship Id="rIde20pd4naqjyxrxhdqcwcf" Type="http://schemas.openxmlformats.org/officeDocument/2006/relationships/hyperlink" Target="https://www.reforge.com/blog/ai-evals-course" TargetMode="External"/><Relationship Id="rIdd3b-7wiq6uflfmg_acwgm" Type="http://schemas.openxmlformats.org/officeDocument/2006/relationships/hyperlink" Target="https://www.pragmaticinstitute.com/resources/webinars/product/does-your-pricing-model-still-work-in-2026/" TargetMode="External"/><Relationship Id="rId5mqnspej2z08ttthced6p" Type="http://schemas.openxmlformats.org/officeDocument/2006/relationships/hyperlink" Target="https://www.mindtheproduct.com/the-top-books-and-resources-for-product-builders-summer-2026-edition/" TargetMode="External"/><Relationship Id="rId5k8epfobpkfept0131ong" Type="http://schemas.openxmlformats.org/officeDocument/2006/relationships/hyperlink" Target="https://productside.com/the-ai-product-management-workflows-2026/"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2026-07-29T14:59:53.192Z</dcterms:created>
  <dcterms:modified xsi:type="dcterms:W3CDTF">2026-07-29T14:59:53.192Z</dcterms:modified>
</cp:coreProperties>
</file>

<file path=docProps/custom.xml><?xml version="1.0" encoding="utf-8"?>
<Properties xmlns="http://schemas.openxmlformats.org/officeDocument/2006/custom-properties" xmlns:vt="http://schemas.openxmlformats.org/officeDocument/2006/docPropsVTypes"/>
</file>