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F043E"/>
          <w:sz w:val="34"/>
          <w:szCs w:val="34"/>
        </w:rPr>
        <w:t xml:space="preserve">ProductPlan — Weekly Market Intelligence</w:t>
      </w:r>
    </w:p>
    <w:p>
      <w:pPr>
        <w:pBdr>
          <w:bottom w:val="single" w:color="9B2169" w:sz="10" w:space="6"/>
        </w:pBdr>
        <w:spacing w:after="220"/>
      </w:pPr>
      <w:r>
        <w:rPr>
          <w:rFonts w:ascii="Calibri" w:cs="Calibri" w:eastAsia="Calibri" w:hAnsi="Calibri"/>
          <w:color w:val="666666"/>
          <w:sz w:val="17"/>
          <w:szCs w:val="17"/>
        </w:rPr>
        <w:t xml:space="preserve">Coverage: July 13 – July 20, 2026   |   Generated: July 20, 2026   |   Next run: July 27, 2026   |   12 articles curated from 15+ sources</w:t>
      </w:r>
    </w:p>
    <w:p>
      <w:pPr>
        <w:pStyle w:val="Heading1"/>
        <w:spacing w:after="120" w:before="200"/>
      </w:pPr>
      <w:r>
        <w:rPr>
          <w:rFonts w:ascii="Calibri" w:cs="Calibri" w:eastAsia="Calibri" w:hAnsi="Calibri"/>
          <w:b/>
          <w:bCs/>
          <w:color w:val="3F043E"/>
          <w:sz w:val="30"/>
          <w:szCs w:val="30"/>
        </w:rPr>
        <w:t xml:space="preserve">Executive Note</w:t>
      </w:r>
    </w:p>
    <w:p>
      <w:pPr>
        <w:spacing w:after="120"/>
      </w:pPr>
      <w:r>
        <w:rPr>
          <w:rFonts w:ascii="Calibri" w:cs="Calibri" w:eastAsia="Calibri" w:hAnsi="Calibri"/>
          <w:b w:val="false"/>
          <w:bCs w:val="false"/>
          <w:i w:val="false"/>
          <w:iCs w:val="false"/>
          <w:color w:val="1E1E1E"/>
          <w:sz w:val="18"/>
          <w:szCs w:val="18"/>
        </w:rPr>
        <w:t xml:space="preserve">This was the most competitively significant week of the quarter, and three findings drive everything below.</w:t>
      </w:r>
    </w:p>
    <w:p>
      <w:pPr>
        <w:spacing w:after="120"/>
      </w:pPr>
      <w:r>
        <w:rPr>
          <w:rFonts w:ascii="Calibri" w:cs="Calibri" w:eastAsia="Calibri" w:hAnsi="Calibri"/>
          <w:b w:val="false"/>
          <w:bCs w:val="false"/>
          <w:i w:val="false"/>
          <w:iCs w:val="false"/>
          <w:color w:val="1E1E1E"/>
          <w:sz w:val="18"/>
          <w:szCs w:val="18"/>
        </w:rPr>
        <w:t xml:space="preserve">1. Atlassian claimed the "context layer" narrative — and priced it at zero. On July 15 Atlassian shipped a full agentic system inside Jira: coding agents (Claude Code, Cursor, GitHub Copilot) assignable from work items, Jira Planner generating structured specs from the Teamwork Graph, Jira for Slack, and Loom video prompts — nearly all free to paid Jira Cloud customers. The strategic content matters more than the features. Atlassian's framing, echoed by IDC, is that "the bottleneck isn't agent capability, it's organizational context." That is ProductPlan's own thesis, now being marketed by a company with distribution into 85% of the Fortune 500. The decisive difference is what each context layer reads: the Teamwork Graph reasons over code, tickets and Confluence — a record of decisions already made. Winware reasons over Gong calls, survey verbatims and CRM — evidence of what to decide next. ProductPlan's positioning has narrowed to that single distinction, and it has roughly one to two quarters before the market settles it.</w:t>
      </w:r>
    </w:p>
    <w:p>
      <w:pPr>
        <w:spacing w:after="120"/>
      </w:pPr>
      <w:r>
        <w:rPr>
          <w:rFonts w:ascii="Calibri" w:cs="Calibri" w:eastAsia="Calibri" w:hAnsi="Calibri"/>
          <w:b w:val="false"/>
          <w:bCs w:val="false"/>
          <w:i w:val="false"/>
          <w:iCs w:val="false"/>
          <w:color w:val="1E1E1E"/>
          <w:sz w:val="18"/>
          <w:szCs w:val="18"/>
        </w:rPr>
        <w:t xml:space="preserve">2. Productboard is retrenching, which opens the best displacement window of the year. The nearest direct competitor cut roughly 30% of its global workforce in April 2026, lost its CFO to Chainalysis, and has raised nothing since its 2022 Series D. It is still shipping credible product — Spark now runs entirely on Skills, with semantic search and a new Specification tab — but it is optimizing for survival rather than share. In ProductPlan's regulated verticals, where procurement scores vendor durability, this is a factual and durable advantage. It is also time-boxed.</w:t>
      </w:r>
    </w:p>
    <w:p>
      <w:pPr>
        <w:spacing w:after="120"/>
      </w:pPr>
      <w:r>
        <w:rPr>
          <w:rFonts w:ascii="Calibri" w:cs="Calibri" w:eastAsia="Calibri" w:hAnsi="Calibri"/>
          <w:b w:val="false"/>
          <w:bCs w:val="false"/>
          <w:i w:val="false"/>
          <w:iCs w:val="false"/>
          <w:color w:val="1E1E1E"/>
          <w:sz w:val="18"/>
          <w:szCs w:val="18"/>
        </w:rPr>
        <w:t xml:space="preserve">3. MCP interoperability quietly became table stakes. monday.com shipped an MCP Block on July 16 plus agent-managed automations on July 9; Aha! shipped an MCP server; Productboard added in-conversation MCP connectors. Three competitors in one quarter. ProductPlan needs a public interop position before this appears in enterprise RFPs, which will likely be Q4.</w:t>
      </w:r>
    </w:p>
    <w:p>
      <w:pPr>
        <w:spacing w:after="120"/>
      </w:pPr>
      <w:r>
        <w:rPr>
          <w:rFonts w:ascii="Calibri" w:cs="Calibri" w:eastAsia="Calibri" w:hAnsi="Calibri"/>
          <w:b/>
          <w:bCs/>
          <w:i w:val="false"/>
          <w:iCs w:val="false"/>
          <w:color w:val="1E1E1E"/>
          <w:sz w:val="18"/>
          <w:szCs w:val="18"/>
        </w:rPr>
        <w:t xml:space="preserve">One statistic to build the quarter on: Atlassian's own DX longitudinal study found engineer AI usage up 65% while developer velocity gains stalled near 10%. Six times the adoption, a tenth of the return. That is the clearest third-party articulation of the problem ProductPlan solves that has been published all year — and it is more persuasive in cold outbound than any first-party claim.</w:t>
      </w:r>
    </w:p>
    <w:p>
      <w:pPr>
        <w:pStyle w:val="Heading1"/>
        <w:spacing w:after="120" w:before="200"/>
      </w:pPr>
      <w:r>
        <w:rPr>
          <w:rFonts w:ascii="Calibri" w:cs="Calibri" w:eastAsia="Calibri" w:hAnsi="Calibri"/>
          <w:b/>
          <w:bCs/>
          <w:color w:val="3F043E"/>
          <w:sz w:val="30"/>
          <w:szCs w:val="30"/>
        </w:rPr>
        <w:t xml:space="preserve">Research Table</w:t>
      </w:r>
    </w:p>
    <w:p>
      <w:pPr>
        <w:spacing w:after="120"/>
      </w:pPr>
      <w:r>
        <w:rPr>
          <w:rFonts w:ascii="Calibri" w:cs="Calibri" w:eastAsia="Calibri" w:hAnsi="Calibri"/>
          <w:b w:val="false"/>
          <w:bCs w:val="false"/>
          <w:i/>
          <w:iCs/>
          <w:color w:val="666666"/>
          <w:sz w:val="16"/>
          <w:szCs w:val="16"/>
        </w:rPr>
        <w:t xml:space="preserve">Sorted by relevance score (highest first). Confidence note: the top three items are verified, dated, last-7-day news. Items dated "2026" without a discrete publish date were actively in-market during the coverage window — treat as directional. The Productboard restructuring figures come from layoff-tracking aggregators rather than a company statement; verify before using in customer-facing material.</w:t>
      </w:r>
    </w:p>
    <w:tbl>
      <w:tblPr>
        <w:tblW w:type="dxa" w:w="14400"/>
        <w:tblBorders>
          <w:top w:val="single" w:color="DDD8DC" w:sz="4"/>
          <w:left w:val="single" w:color="DDD8DC" w:sz="4"/>
          <w:bottom w:val="single" w:color="DDD8DC" w:sz="4"/>
          <w:right w:val="single" w:color="DDD8DC" w:sz="4"/>
          <w:insideH w:val="single" w:color="DDD8DC" w:sz="4"/>
          <w:insideV w:val="single" w:color="DDD8DC" w:sz="4"/>
        </w:tblBorders>
      </w:tblPr>
      <w:tblGrid>
        <w:gridCol w:w="2200"/>
        <w:gridCol w:w="850"/>
        <w:gridCol w:w="3300"/>
        <w:gridCol w:w="1850"/>
        <w:gridCol w:w="700"/>
        <w:gridCol w:w="2750"/>
        <w:gridCol w:w="2750"/>
      </w:tblGrid>
      <w:tr>
        <w:trPr>
          <w:tblHeader/>
        </w:trPr>
        <w:tc>
          <w:tcPr>
            <w:tcW w:type="dxa" w:w="220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Headline &amp; Source</w:t>
            </w:r>
          </w:p>
        </w:tc>
        <w:tc>
          <w:tcPr>
            <w:tcW w:type="dxa" w:w="85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Date</w:t>
            </w:r>
          </w:p>
        </w:tc>
        <w:tc>
          <w:tcPr>
            <w:tcW w:type="dxa" w:w="330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Summary</w:t>
            </w:r>
          </w:p>
        </w:tc>
        <w:tc>
          <w:tcPr>
            <w:tcW w:type="dxa" w:w="185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Keywords in Context</w:t>
            </w:r>
          </w:p>
        </w:tc>
        <w:tc>
          <w:tcPr>
            <w:tcW w:type="dxa" w:w="70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Score</w:t>
            </w:r>
          </w:p>
        </w:tc>
        <w:tc>
          <w:tcPr>
            <w:tcW w:type="dxa" w:w="275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How ProductPlan Can Engage</w:t>
            </w:r>
          </w:p>
        </w:tc>
        <w:tc>
          <w:tcPr>
            <w:tcW w:type="dxa" w:w="2750"/>
            <w:shd w:fill="3F043E" w:color="auto" w:val="clear"/>
            <w:tcMar>
              <w:top w:type="dxa" w:w="90"/>
              <w:left w:type="dxa" w:w="90"/>
              <w:bottom w:type="dxa" w:w="90"/>
              <w:right w:type="dxa" w:w="90"/>
            </w:tcMar>
          </w:tcPr>
          <w:p>
            <w:r>
              <w:rPr>
                <w:rFonts w:ascii="Calibri" w:cs="Calibri" w:eastAsia="Calibri" w:hAnsi="Calibri"/>
                <w:b/>
                <w:bCs/>
                <w:color w:val="FFFFFF"/>
                <w:sz w:val="15"/>
                <w:szCs w:val="15"/>
              </w:rPr>
              <w:t xml:space="preserve">How ProductPlan Fits the Topic</w:t>
            </w:r>
          </w:p>
        </w:tc>
      </w:tr>
      <w:tr>
        <w:tc>
          <w:tcPr>
            <w:tcW w:type="dxa" w:w="2200"/>
            <w:tcMar>
              <w:top w:type="dxa" w:w="70"/>
              <w:left w:type="dxa" w:w="90"/>
              <w:bottom w:type="dxa" w:w="70"/>
              <w:right w:type="dxa" w:w="90"/>
            </w:tcMar>
          </w:tcPr>
          <w:p>
            <w:pPr>
              <w:spacing w:after="60" w:before="0"/>
            </w:pPr>
            <w:hyperlink w:history="1" r:id="rId0j2g4mkhehoxhzfaia4uz">
              <w:r>
                <w:rPr>
                  <w:rFonts w:ascii="Calibri" w:cs="Calibri" w:eastAsia="Calibri" w:hAnsi="Calibri"/>
                  <w:b/>
                  <w:bCs/>
                  <w:color w:val="0F0960"/>
                  <w:sz w:val="15"/>
                  <w:szCs w:val="15"/>
                  <w:u w:val="single"/>
                </w:rPr>
                <w:t xml:space="preserve">Atlassian Announces System for AI-native Software Development in Jira</w:t>
              </w:r>
            </w:hyperlink>
          </w:p>
          <w:p>
            <w:pPr>
              <w:spacing w:after="0" w:before="0"/>
            </w:pPr>
            <w:r>
              <w:rPr>
                <w:rFonts w:ascii="Calibri" w:cs="Calibri" w:eastAsia="Calibri" w:hAnsi="Calibri"/>
                <w:b w:val="false"/>
                <w:bCs w:val="false"/>
                <w:i/>
                <w:iCs/>
                <w:color w:val="666666"/>
                <w:sz w:val="14"/>
                <w:szCs w:val="14"/>
              </w:rPr>
              <w:t xml:space="preserve">Business Wire / Yahoo Finance</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15, 2026</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Atlassian shipped a full agentic system inside Jira: work items can be assigned directly to Claude Code, Cursor or GitHub Copilot, and the new Jira Planner generates structured technical specs by pulling from the Teamwork Graph. Jira for Slack and Loom video prompts convert conversations into agent-ready work, and nearly all of it is free to paid Jira Cloud customers. Atlassian cites its own DX study showing engineer AI usage up 65% while velocity gains stalled near 10%, and claims Teamwork Graph context makes agents 44% more accurate on 48% fewer tokens.</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product roadmapping software, product intelligence. Central, not incidental — the entire launch narrative is built on "context is the bottleneck," which is ProductPlan's own thesis stated by a competitor.</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5</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CEO LinkedIn POV within 72 hours ("two context layers"). Definitional blog + AEO pillar page. Rewrite the Atlassian battlecard and brief sales this week. Anchor Q3 demand gen on the 65%/10% statistic. Webinar: "Your agents have your tickets. Who has your customers?"</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Validating and threatening at once. Atlassian answered the context problem with a layer built from code, tickets and Confluence — a record of decisions already made. Winware reads Gong calls, survey verbatims and CRM — evidence of what to decide next. ProductPlan's defensible ground has narrowed to that one distinction, and it has roughly one to two quarters before it settles.</w:t>
            </w:r>
          </w:p>
        </w:tc>
      </w:tr>
      <w:tr>
        <w:tc>
          <w:tcPr>
            <w:tcW w:type="dxa" w:w="2200"/>
            <w:shd w:fill="F7F4F7" w:color="auto" w:val="clear"/>
            <w:tcMar>
              <w:top w:type="dxa" w:w="70"/>
              <w:left w:type="dxa" w:w="90"/>
              <w:bottom w:type="dxa" w:w="70"/>
              <w:right w:type="dxa" w:w="90"/>
            </w:tcMar>
          </w:tcPr>
          <w:p>
            <w:pPr>
              <w:spacing w:after="60" w:before="0"/>
            </w:pPr>
            <w:hyperlink w:history="1" r:id="rIdjchsvymlprccdq9if_hqo">
              <w:r>
                <w:rPr>
                  <w:rFonts w:ascii="Calibri" w:cs="Calibri" w:eastAsia="Calibri" w:hAnsi="Calibri"/>
                  <w:b/>
                  <w:bCs/>
                  <w:color w:val="0F0960"/>
                  <w:sz w:val="15"/>
                  <w:szCs w:val="15"/>
                  <w:u w:val="single"/>
                </w:rPr>
                <w:t xml:space="preserve">Productboard cut 30% of global workforce; CFO departs for Chainalysis</w:t>
              </w:r>
            </w:hyperlink>
          </w:p>
          <w:p>
            <w:pPr>
              <w:spacing w:after="0" w:before="0"/>
            </w:pPr>
            <w:r>
              <w:rPr>
                <w:rFonts w:ascii="Calibri" w:cs="Calibri" w:eastAsia="Calibri" w:hAnsi="Calibri"/>
                <w:b w:val="false"/>
                <w:bCs w:val="false"/>
                <w:i/>
                <w:iCs/>
                <w:color w:val="666666"/>
                <w:sz w:val="14"/>
                <w:szCs w:val="14"/>
              </w:rPr>
              <w:t xml:space="preserve">TrueUp / InterviewPal layoff trackers</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Apr–Jul 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Productboard eliminated roughly 30% of its global workforce in April 2026 in a restructuring toward profitability, affecting hundreds of employees across departments and geographies. Its CFO has since left for Chainalysis. The company has raised $262M total with no new round since its $125M Series D in February 2022.</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Competitor signal rather than keyword. Directly material to "product management software" and "productboard alternative" buying conversations.</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5</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One-page vendor-stability card for sales this week. "Productboard alternative" comparison page plus migration guide. Blog: vendor stability checklist for 2026 tool evaluation. Target their July 8 API v1 sunset as a migration moment.</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best new-logo displacement window of the year, and it is time-boxed. In ProductPlan's regulated verticals — finance, insurance, government, higher ed — procurement scores vendor durability explicitly. Tone discipline is critical: state the public record, never speculate, never gloat. Buyers punish vendors who trash competitors.</w:t>
            </w:r>
          </w:p>
        </w:tc>
      </w:tr>
      <w:tr>
        <w:tc>
          <w:tcPr>
            <w:tcW w:type="dxa" w:w="2200"/>
            <w:tcMar>
              <w:top w:type="dxa" w:w="70"/>
              <w:left w:type="dxa" w:w="90"/>
              <w:bottom w:type="dxa" w:w="70"/>
              <w:right w:type="dxa" w:w="90"/>
            </w:tcMar>
          </w:tcPr>
          <w:p>
            <w:pPr>
              <w:spacing w:after="60" w:before="0"/>
            </w:pPr>
            <w:hyperlink w:history="1" r:id="rId60hihrk_z3csqrjhayskg">
              <w:r>
                <w:rPr>
                  <w:rFonts w:ascii="Calibri" w:cs="Calibri" w:eastAsia="Calibri" w:hAnsi="Calibri"/>
                  <w:b/>
                  <w:bCs/>
                  <w:color w:val="0F0960"/>
                  <w:sz w:val="15"/>
                  <w:szCs w:val="15"/>
                  <w:u w:val="single"/>
                </w:rPr>
                <w:t xml:space="preserve">monday.com ships MCP Block for AI Workflows and agent-managed automations</w:t>
              </w:r>
            </w:hyperlink>
          </w:p>
          <w:p>
            <w:pPr>
              <w:spacing w:after="0" w:before="0"/>
            </w:pPr>
            <w:r>
              <w:rPr>
                <w:rFonts w:ascii="Calibri" w:cs="Calibri" w:eastAsia="Calibri" w:hAnsi="Calibri"/>
                <w:b w:val="false"/>
                <w:bCs w:val="false"/>
                <w:i/>
                <w:iCs/>
                <w:color w:val="666666"/>
                <w:sz w:val="14"/>
                <w:szCs w:val="14"/>
              </w:rPr>
              <w:t xml:space="preserve">monday.com What's New</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9 &amp; 16, 2026</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On July 16 monday.com released an MCP Block letting any external application with a public MCP server trigger actions inside a monday account. On July 9 it enabled creating, reading, disabling and deleting automations from any connected AI agent with no UI access required. Sidekick can now execute nearly any account action conversationally. From July 27, Sidekick bills on interaction complexity via credits.</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product management software. Substantive — this is monday's core platform strategy, not a passing mention.</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5</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Add an MCP/interop position to the public roadmap page. Update the monday battlecard with the credit-pricing predictability angle. Blog: "MCP for Product Teams" primer — early-mover SEO on a term that will be in RFPs by Q4.</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same context-layer land grab as Atlassian, approached from the horizontal side, which strengthens monday's consolidation pitch to IT buyers. Confirms MCP interoperability is becoming table stakes. ProductPlan's counter is unchanged: a horizontal work OS automates tasks but has never heard a customer call.</w:t>
            </w:r>
          </w:p>
        </w:tc>
      </w:tr>
      <w:tr>
        <w:tc>
          <w:tcPr>
            <w:tcW w:type="dxa" w:w="2200"/>
            <w:shd w:fill="F7F4F7" w:color="auto" w:val="clear"/>
            <w:tcMar>
              <w:top w:type="dxa" w:w="70"/>
              <w:left w:type="dxa" w:w="90"/>
              <w:bottom w:type="dxa" w:w="70"/>
              <w:right w:type="dxa" w:w="90"/>
            </w:tcMar>
          </w:tcPr>
          <w:p>
            <w:pPr>
              <w:spacing w:after="60" w:before="0"/>
            </w:pPr>
            <w:hyperlink w:history="1" r:id="rIduy3rhz6gpbkvs73ozebzp">
              <w:r>
                <w:rPr>
                  <w:rFonts w:ascii="Calibri" w:cs="Calibri" w:eastAsia="Calibri" w:hAnsi="Calibri"/>
                  <w:b/>
                  <w:bCs/>
                  <w:color w:val="0F0960"/>
                  <w:sz w:val="15"/>
                  <w:szCs w:val="15"/>
                  <w:u w:val="single"/>
                </w:rPr>
                <w:t xml:space="preserve">Productboard Spark now runs entirely on Skills; adds semantic search, in-conversation MCP connectors and a Specification tab</w:t>
              </w:r>
            </w:hyperlink>
          </w:p>
          <w:p>
            <w:pPr>
              <w:spacing w:after="0" w:before="0"/>
            </w:pPr>
            <w:r>
              <w:rPr>
                <w:rFonts w:ascii="Calibri" w:cs="Calibri" w:eastAsia="Calibri" w:hAnsi="Calibri"/>
                <w:b w:val="false"/>
                <w:bCs w:val="false"/>
                <w:i/>
                <w:iCs/>
                <w:color w:val="666666"/>
                <w:sz w:val="14"/>
                <w:szCs w:val="14"/>
              </w:rPr>
              <w:t xml:space="preserve">Productboard Release Notes</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Spark has been rearchitected so all workflows run on Skills rather than Jobs. Documents are now searchable by combined keyword and semantic matching. Spark can prompt users to connect Notion, Google Drive, file uploads or MCP connectors mid-conversation. A new Specification tab lets teams draft and collaborate on specs on initiatives, features and subfeatures.</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customer insights, product prioritization — central to the release.</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4</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Update the Productboard battlecard and acknowledge Spark's quality rather than dismissing it. Sharpen the "what does your AI read?" comparison line. Do not add spec authoring to the roadmap in response.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important nuance alongside the restructuring: Productboard is weakened but not stalled. The Specification tab mirrors what Jira Planner just shipped — spec generation is becoming a commodity feature and ProductPlan should not chase it. Durable differentiation stays with signal breadth and source-quote traceability.</w:t>
            </w:r>
          </w:p>
        </w:tc>
      </w:tr>
      <w:tr>
        <w:tc>
          <w:tcPr>
            <w:tcW w:type="dxa" w:w="2200"/>
            <w:tcMar>
              <w:top w:type="dxa" w:w="70"/>
              <w:left w:type="dxa" w:w="90"/>
              <w:bottom w:type="dxa" w:w="70"/>
              <w:right w:type="dxa" w:w="90"/>
            </w:tcMar>
          </w:tcPr>
          <w:p>
            <w:pPr>
              <w:spacing w:after="60" w:before="0"/>
            </w:pPr>
            <w:hyperlink w:history="1" r:id="rIdpwqstng8dtewod4qx6enk">
              <w:r>
                <w:rPr>
                  <w:rFonts w:ascii="Calibri" w:cs="Calibri" w:eastAsia="Calibri" w:hAnsi="Calibri"/>
                  <w:b/>
                  <w:bCs/>
                  <w:color w:val="0F0960"/>
                  <w:sz w:val="15"/>
                  <w:szCs w:val="15"/>
                  <w:u w:val="single"/>
                </w:rPr>
                <w:t xml:space="preserve">The top books and resources for Product people, Summer 2026 edition — "the PM job is splitting"</w:t>
              </w:r>
            </w:hyperlink>
          </w:p>
          <w:p>
            <w:pPr>
              <w:spacing w:after="0" w:before="0"/>
            </w:pPr>
            <w:r>
              <w:rPr>
                <w:rFonts w:ascii="Calibri" w:cs="Calibri" w:eastAsia="Calibri" w:hAnsi="Calibri"/>
                <w:b w:val="false"/>
                <w:bCs w:val="false"/>
                <w:i/>
                <w:iCs/>
                <w:color w:val="666666"/>
                <w:sz w:val="14"/>
                <w:szCs w:val="14"/>
              </w:rPr>
              <w:t xml:space="preserve">Mind the Product</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6, 2026</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Mind the Product argues the PM role is bifurcating, with hands-on "Product Builders" separating from the broader strategic remit. It reports strategy and business acumen as the most critical skills for the next two to three years, ahead of tools and frameworks, against a two-speed job market — tech openings up 14% YoY while big tech cut roughly 120,000 roles in 2026. It also flags an emerging skill: designing products an AI evaluates before any human user does.</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Product management, AI product management, user/customer insights. Substantive framing piece, not a passing reference.</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4</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CEO LinkedIn: "you cannot defend a decision you cannot source." Feed into the Q3 first-party research report. Monitor the "designing for AI evaluators" thread as an emerging signal.</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If the surviving half of the PM job is defending decisions to executives, evidence quality — not workflow tooling — is the binding constraint. A direct, credible on-ramp to the Winware value proposition, sourced from a publication ProductPlan's ICP actually reads.</w:t>
            </w:r>
          </w:p>
        </w:tc>
      </w:tr>
      <w:tr>
        <w:tc>
          <w:tcPr>
            <w:tcW w:type="dxa" w:w="2200"/>
            <w:shd w:fill="F7F4F7" w:color="auto" w:val="clear"/>
            <w:tcMar>
              <w:top w:type="dxa" w:w="70"/>
              <w:left w:type="dxa" w:w="90"/>
              <w:bottom w:type="dxa" w:w="70"/>
              <w:right w:type="dxa" w:w="90"/>
            </w:tcMar>
          </w:tcPr>
          <w:p>
            <w:pPr>
              <w:spacing w:after="60" w:before="0"/>
            </w:pPr>
            <w:hyperlink w:history="1" r:id="rIdle-enrm7yt2qpqg4fcwtj">
              <w:r>
                <w:rPr>
                  <w:rFonts w:ascii="Calibri" w:cs="Calibri" w:eastAsia="Calibri" w:hAnsi="Calibri"/>
                  <w:b/>
                  <w:bCs/>
                  <w:color w:val="0F0960"/>
                  <w:sz w:val="15"/>
                  <w:szCs w:val="15"/>
                  <w:u w:val="single"/>
                </w:rPr>
                <w:t xml:space="preserve">Redesign Work Before You Add More AI Agents</w:t>
              </w:r>
            </w:hyperlink>
          </w:p>
          <w:p>
            <w:pPr>
              <w:spacing w:after="0" w:before="0"/>
            </w:pPr>
            <w:r>
              <w:rPr>
                <w:rFonts w:ascii="Calibri" w:cs="Calibri" w:eastAsia="Calibri" w:hAnsi="Calibri"/>
                <w:b w:val="false"/>
                <w:bCs w:val="false"/>
                <w:i/>
                <w:iCs/>
                <w:color w:val="666666"/>
                <w:sz w:val="14"/>
                <w:szCs w:val="14"/>
              </w:rPr>
              <w:t xml:space="preserve">Product Coalition (Weiwei Hu)</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author argues teams are stacking agents onto workflows that were already broken, and prescribes a sequence instead: map where AI creates value, redesign the workflow, redefine talent, upgrade the executive team, then measure business impact. The piece is part of a visible July backlash against agent-sprawl running across Product Coalition and Pragmatic Institute.</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product prioritization. Central thesis of the article.</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4</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CEO LinkedIn agree-and-extend post. Blog on prioritization as the broken workflow. Sales discovery question: "how often does leadership override your prioritization framework?"</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counter-narrative to the Atlassian launch, published the same month, and ready-made for agree-and-extend. ProductPlan's extension writes itself: the broken workflow is prioritization, and over 60% of prioritization frameworks are already overridden by leadership escalation. Automating an ignored process produces confident wrong answers faster.</w:t>
            </w:r>
          </w:p>
        </w:tc>
      </w:tr>
      <w:tr>
        <w:tc>
          <w:tcPr>
            <w:tcW w:type="dxa" w:w="2200"/>
            <w:tcMar>
              <w:top w:type="dxa" w:w="70"/>
              <w:left w:type="dxa" w:w="90"/>
              <w:bottom w:type="dxa" w:w="70"/>
              <w:right w:type="dxa" w:w="90"/>
            </w:tcMar>
          </w:tcPr>
          <w:p>
            <w:pPr>
              <w:spacing w:after="60" w:before="0"/>
            </w:pPr>
            <w:hyperlink w:history="1" r:id="rIdipvrtuhfhfs1opzr6aghi">
              <w:r>
                <w:rPr>
                  <w:rFonts w:ascii="Calibri" w:cs="Calibri" w:eastAsia="Calibri" w:hAnsi="Calibri"/>
                  <w:b/>
                  <w:bCs/>
                  <w:color w:val="0F0960"/>
                  <w:sz w:val="15"/>
                  <w:szCs w:val="15"/>
                  <w:u w:val="single"/>
                </w:rPr>
                <w:t xml:space="preserve">Most popular new Aha! features launched in Q2 2026 — Elle AI, MCP server, Aha! Builder</w:t>
              </w:r>
            </w:hyperlink>
          </w:p>
          <w:p>
            <w:pPr>
              <w:spacing w:after="0" w:before="0"/>
            </w:pPr>
            <w:r>
              <w:rPr>
                <w:rFonts w:ascii="Calibri" w:cs="Calibri" w:eastAsia="Calibri" w:hAnsi="Calibri"/>
                <w:b w:val="false"/>
                <w:bCs w:val="false"/>
                <w:i/>
                <w:iCs/>
                <w:color w:val="666666"/>
                <w:sz w:val="14"/>
                <w:szCs w:val="14"/>
              </w:rPr>
              <w:t xml:space="preserve">Aha! Blog</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Q2 2026 (pub. Jul)</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Aha! extended its Elle AI assistant across Roadmaps, Discovery and Develop, adding interview-to-report generation, AI-drafted presentation slides and brand-matching setup automation. A new Aha! MCP server pushes Aha! data into Claude, ChatGPT and Microsoft Copilot. Aha! Builder, their AI coding tool, launched publicly. Elle can now link interview highlights to the ideas and features they support.</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Product roadmapping software, AI product management, customer insights — central to the release notes.</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4</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Refresh the Tier-2 Aha! battlecard. Reinforce multi-source vs. single-source synthesis in messaging. Track whether Elle's research features move upmarket.</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Third competitor executing the interop thesis, confirming MCP as a category expectation. Elle's interview-highlight linking is the feature closest to Winware's territory, but it operates on one signal type. ProductPlan's multi-source synthesis with quote traceability remains differentiated. Watch, do not react.</w:t>
            </w:r>
          </w:p>
        </w:tc>
      </w:tr>
      <w:tr>
        <w:tc>
          <w:tcPr>
            <w:tcW w:type="dxa" w:w="2200"/>
            <w:shd w:fill="F7F4F7" w:color="auto" w:val="clear"/>
            <w:tcMar>
              <w:top w:type="dxa" w:w="70"/>
              <w:left w:type="dxa" w:w="90"/>
              <w:bottom w:type="dxa" w:w="70"/>
              <w:right w:type="dxa" w:w="90"/>
            </w:tcMar>
          </w:tcPr>
          <w:p>
            <w:pPr>
              <w:spacing w:after="60" w:before="0"/>
            </w:pPr>
            <w:hyperlink w:history="1" r:id="rId2tot54vlxmvaup547hs3f">
              <w:r>
                <w:rPr>
                  <w:rFonts w:ascii="Calibri" w:cs="Calibri" w:eastAsia="Calibri" w:hAnsi="Calibri"/>
                  <w:b/>
                  <w:bCs/>
                  <w:color w:val="0F0960"/>
                  <w:sz w:val="15"/>
                  <w:szCs w:val="15"/>
                  <w:u w:val="single"/>
                </w:rPr>
                <w:t xml:space="preserve">5 Product Intelligence Platforms to Support 2026 Strategy</w:t>
              </w:r>
            </w:hyperlink>
          </w:p>
          <w:p>
            <w:pPr>
              <w:spacing w:after="0" w:before="0"/>
            </w:pPr>
            <w:r>
              <w:rPr>
                <w:rFonts w:ascii="Calibri" w:cs="Calibri" w:eastAsia="Calibri" w:hAnsi="Calibri"/>
                <w:b w:val="false"/>
                <w:bCs w:val="false"/>
                <w:i/>
                <w:iCs/>
                <w:color w:val="666666"/>
                <w:sz w:val="14"/>
                <w:szCs w:val="14"/>
              </w:rPr>
              <w:t xml:space="preserve">UXCam Blog</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 buyer-intent listicle defining "product intelligence" and ranking platforms for 2026. As with the broader set of category roundups, the framing leans toward behavioral analytics — session replay, funnels, experimentation — with vendors like Amplitude, Sprig and PostHog featured prominently in the wider category conversation.</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"Product intelligence platform" — exact-match on ProductPlan's core positioning term, which is precisely why it matters.</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4</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Listicle-inclusion outreach to UXCam and CPO Club. Consider "context layer" as complementary positioning language. The definitional pillar page remains the priority SEO asset.</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ongoing category-definition risk, still unresolved. ProductPlan rebranded onto "product intelligence platform" while analytics vendors shape what buyers think the term means. The Atlassian "context layer" framing is a gift here — fresher, more differentiated language than fighting a contested term head-on.</w:t>
            </w:r>
          </w:p>
        </w:tc>
      </w:tr>
      <w:tr>
        <w:tc>
          <w:tcPr>
            <w:tcW w:type="dxa" w:w="2200"/>
            <w:tcMar>
              <w:top w:type="dxa" w:w="70"/>
              <w:left w:type="dxa" w:w="90"/>
              <w:bottom w:type="dxa" w:w="70"/>
              <w:right w:type="dxa" w:w="90"/>
            </w:tcMar>
          </w:tcPr>
          <w:p>
            <w:pPr>
              <w:spacing w:after="60" w:before="0"/>
            </w:pPr>
            <w:hyperlink w:history="1" r:id="rIdjxrywpe3o0k9gje54uptg">
              <w:r>
                <w:rPr>
                  <w:rFonts w:ascii="Calibri" w:cs="Calibri" w:eastAsia="Calibri" w:hAnsi="Calibri"/>
                  <w:b/>
                  <w:bCs/>
                  <w:color w:val="0F0960"/>
                  <w:sz w:val="15"/>
                  <w:szCs w:val="15"/>
                  <w:u w:val="single"/>
                </w:rPr>
                <w:t xml:space="preserve">They Asked About AI Tools. Almost Nobody Asked About the Business.</w:t>
              </w:r>
            </w:hyperlink>
          </w:p>
          <w:p>
            <w:pPr>
              <w:spacing w:after="0" w:before="0"/>
            </w:pPr>
            <w:r>
              <w:rPr>
                <w:rFonts w:ascii="Calibri" w:cs="Calibri" w:eastAsia="Calibri" w:hAnsi="Calibri"/>
                <w:b w:val="false"/>
                <w:bCs w:val="false"/>
                <w:i/>
                <w:iCs/>
                <w:color w:val="666666"/>
                <w:sz w:val="14"/>
                <w:szCs w:val="14"/>
              </w:rPr>
              <w:t xml:space="preserve">Product Coalition (Irina Bulygina)</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Jul 2026</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author observes that PM conversations have collapsed into tool talk while business fundamentals go unexamined. The piece pairs with Product Coalition survey data showing 98% of PMs use AI daily but only 39% have role-specific training. The argument is that teams getting the most from AI use it to challenge their thinking before the first draft, not to produce more drafts.</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Central, though the piece is opinion rather than research.</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3</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Supporting citation for the Q3 research report. Social proof for the "evidence over tooling" narrative.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Corroborates the Mind the Product role-split finding from a second independent source — two publications landing the same idea in one month makes it a trend, not a take. The 98%/39% split is usable, though from a smaller sample (117 PMs) than ProductPlan's own report.</w:t>
            </w:r>
          </w:p>
        </w:tc>
      </w:tr>
      <w:tr>
        <w:tc>
          <w:tcPr>
            <w:tcW w:type="dxa" w:w="2200"/>
            <w:shd w:fill="F7F4F7" w:color="auto" w:val="clear"/>
            <w:tcMar>
              <w:top w:type="dxa" w:w="70"/>
              <w:left w:type="dxa" w:w="90"/>
              <w:bottom w:type="dxa" w:w="70"/>
              <w:right w:type="dxa" w:w="90"/>
            </w:tcMar>
          </w:tcPr>
          <w:p>
            <w:pPr>
              <w:spacing w:after="60" w:before="0"/>
            </w:pPr>
            <w:hyperlink w:history="1" r:id="rIdwxd3_0ynulex4rttvlach">
              <w:r>
                <w:rPr>
                  <w:rFonts w:ascii="Calibri" w:cs="Calibri" w:eastAsia="Calibri" w:hAnsi="Calibri"/>
                  <w:b/>
                  <w:bCs/>
                  <w:color w:val="0F0960"/>
                  <w:sz w:val="15"/>
                  <w:szCs w:val="15"/>
                  <w:u w:val="single"/>
                </w:rPr>
                <w:t xml:space="preserve">AI Agents for Product Managers — and the shift from "AI-reactive" to "AI-proactive"</w:t>
              </w:r>
            </w:hyperlink>
          </w:p>
          <w:p>
            <w:pPr>
              <w:spacing w:after="0" w:before="0"/>
            </w:pPr>
            <w:r>
              <w:rPr>
                <w:rFonts w:ascii="Calibri" w:cs="Calibri" w:eastAsia="Calibri" w:hAnsi="Calibri"/>
                <w:b w:val="false"/>
                <w:bCs w:val="false"/>
                <w:i/>
                <w:iCs/>
                <w:color w:val="666666"/>
                <w:sz w:val="14"/>
                <w:szCs w:val="14"/>
              </w:rPr>
              <w:t xml:space="preserve">Pragmatic Institute</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Pragmatic Institute launched an "AI Agents for Product Professionals" course teaching repeatable AI workflows for research, synthesis and stakeholder communication. Its accompanying guidance urges teams to move from ad hoc AI usage to consistent, intentional workflows, and splits required AI skills into strategic, execution and decision-making categories.</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product research, customer insights. Central to the curriculum.</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3</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Explore webinar co-hosting or sponsored content. Messaging angle: "the workflow they teach, automated."</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 training institution building curriculum around AI-assisted research and synthesis is a demand signal for exactly what Winware automates — PMs are being taught to do manually what ProductPlan does natively. Note: a vendor with a commercial interest in AI training; treat the framing accordingly.</w:t>
            </w:r>
          </w:p>
        </w:tc>
      </w:tr>
      <w:tr>
        <w:tc>
          <w:tcPr>
            <w:tcW w:type="dxa" w:w="2200"/>
            <w:tcMar>
              <w:top w:type="dxa" w:w="70"/>
              <w:left w:type="dxa" w:w="90"/>
              <w:bottom w:type="dxa" w:w="70"/>
              <w:right w:type="dxa" w:w="90"/>
            </w:tcMar>
          </w:tcPr>
          <w:p>
            <w:pPr>
              <w:spacing w:after="60" w:before="0"/>
            </w:pPr>
            <w:hyperlink w:history="1" r:id="rIduxhgapvornuba82pm-dns">
              <w:r>
                <w:rPr>
                  <w:rFonts w:ascii="Calibri" w:cs="Calibri" w:eastAsia="Calibri" w:hAnsi="Calibri"/>
                  <w:b/>
                  <w:bCs/>
                  <w:color w:val="0F0960"/>
                  <w:sz w:val="15"/>
                  <w:szCs w:val="15"/>
                  <w:u w:val="single"/>
                </w:rPr>
                <w:t xml:space="preserve">Product Management &amp; Roadmapping Tool Market: $1.31B (2025) to $3.32B by 2035, 9.7% CAGR</w:t>
              </w:r>
            </w:hyperlink>
          </w:p>
          <w:p>
            <w:pPr>
              <w:spacing w:after="0" w:before="0"/>
            </w:pPr>
            <w:r>
              <w:rPr>
                <w:rFonts w:ascii="Calibri" w:cs="Calibri" w:eastAsia="Calibri" w:hAnsi="Calibri"/>
                <w:b w:val="false"/>
                <w:bCs w:val="false"/>
                <w:i/>
                <w:iCs/>
                <w:color w:val="666666"/>
                <w:sz w:val="14"/>
                <w:szCs w:val="14"/>
              </w:rPr>
              <w:t xml:space="preserve">Spherical Insights</w:t>
            </w:r>
          </w:p>
        </w:tc>
        <w:tc>
          <w:tcPr>
            <w:tcW w:type="dxa" w:w="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2026</w:t>
            </w:r>
          </w:p>
        </w:tc>
        <w:tc>
          <w:tcPr>
            <w:tcW w:type="dxa" w:w="330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global product management and roadmapping tool market was worth roughly $1.31B in 2025 and is forecast to reach about $3.32B by 2035 at a 9.7% CAGR. Growth is attributed to AI features reshaping the category — automated prioritization, feedback analysis, predictive resource planning — alongside real-time integrations and advanced analytics. The report references ProductPlan's January 2026 Winware.ai acquisition by name.</w:t>
            </w:r>
          </w:p>
        </w:tc>
        <w:tc>
          <w:tcPr>
            <w:tcW w:type="dxa" w:w="18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Product roadmapping software, product management software — the report subject itself.</w:t>
            </w:r>
          </w:p>
        </w:tc>
        <w:tc>
          <w:tcPr>
            <w:tcW w:type="dxa" w:w="700"/>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3</w:t>
            </w:r>
          </w:p>
          <w:p>
            <w:pPr>
              <w:spacing w:after="0" w:before="0"/>
              <w:jc w:val="center"/>
            </w:pPr>
            <w:r>
              <w:rPr>
                <w:rFonts w:ascii="Calibri" w:cs="Calibri" w:eastAsia="Calibri" w:hAnsi="Calibri"/>
                <w:color w:val="9B2169"/>
                <w:sz w:val="12"/>
                <w:szCs w:val="12"/>
              </w:rPr>
              <w:t xml:space="preserve">★★★☆☆</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Board and investor deck supporting data. Analyst briefing context.</w:t>
            </w:r>
          </w:p>
        </w:tc>
        <w:tc>
          <w:tcPr>
            <w:tcW w:type="dxa" w:w="2750"/>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The growth thesis maps directly onto ProductPlan's strategy, and third-party naming of the Winware acquisition is helpful validation. Caveat: market-sizing reports of this type vary widely (a parallel forecast puts the market at $3.5B by 2033) and are commercially motivated. Use directionally, not as a precise figure.</w:t>
            </w:r>
          </w:p>
        </w:tc>
      </w:tr>
      <w:tr>
        <w:tc>
          <w:tcPr>
            <w:tcW w:type="dxa" w:w="2200"/>
            <w:shd w:fill="F7F4F7" w:color="auto" w:val="clear"/>
            <w:tcMar>
              <w:top w:type="dxa" w:w="70"/>
              <w:left w:type="dxa" w:w="90"/>
              <w:bottom w:type="dxa" w:w="70"/>
              <w:right w:type="dxa" w:w="90"/>
            </w:tcMar>
          </w:tcPr>
          <w:p>
            <w:pPr>
              <w:spacing w:after="60" w:before="0"/>
            </w:pPr>
            <w:hyperlink w:history="1" r:id="rId55w1xiozqfofj9w7akin5">
              <w:r>
                <w:rPr>
                  <w:rFonts w:ascii="Calibri" w:cs="Calibri" w:eastAsia="Calibri" w:hAnsi="Calibri"/>
                  <w:b/>
                  <w:bCs/>
                  <w:color w:val="0F0960"/>
                  <w:sz w:val="15"/>
                  <w:szCs w:val="15"/>
                  <w:u w:val="single"/>
                </w:rPr>
                <w:t xml:space="preserve">Product Management Trends: 11 Shifts Shaping 2026</w:t>
              </w:r>
            </w:hyperlink>
          </w:p>
          <w:p>
            <w:pPr>
              <w:spacing w:after="0" w:before="0"/>
            </w:pPr>
            <w:r>
              <w:rPr>
                <w:rFonts w:ascii="Calibri" w:cs="Calibri" w:eastAsia="Calibri" w:hAnsi="Calibri"/>
                <w:b w:val="false"/>
                <w:bCs w:val="false"/>
                <w:i/>
                <w:iCs/>
                <w:color w:val="666666"/>
                <w:sz w:val="14"/>
                <w:szCs w:val="14"/>
              </w:rPr>
              <w:t xml:space="preserve">Product School</w:t>
            </w:r>
          </w:p>
        </w:tc>
        <w:tc>
          <w:tcPr>
            <w:tcW w:type="dxa" w:w="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2026</w:t>
            </w:r>
          </w:p>
        </w:tc>
        <w:tc>
          <w:tcPr>
            <w:tcW w:type="dxa" w:w="330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Drawn from ProductCon speakers and podcast guests, the piece argues winning teams in 2026 treat AI, design and experimentation as default working methods, and that learning speed is the durable competitive advantage now that AI lets anyone clone product experience and workflows within weeks. It reports 59% naming strategy and business acumen as the most important PM skills for the next two to three years.</w:t>
            </w:r>
          </w:p>
        </w:tc>
        <w:tc>
          <w:tcPr>
            <w:tcW w:type="dxa" w:w="18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4"/>
                <w:szCs w:val="14"/>
              </w:rPr>
              <w:t xml:space="preserve">AI product management, product management software, product prioritization. Substantive across the piece.</w:t>
            </w:r>
          </w:p>
        </w:tc>
        <w:tc>
          <w:tcPr>
            <w:tcW w:type="dxa" w:w="700"/>
            <w:shd w:fill="F7F4F7" w:color="auto" w:val="clear"/>
            <w:tcMar>
              <w:top w:type="dxa" w:w="70"/>
              <w:left w:type="dxa" w:w="90"/>
              <w:bottom w:type="dxa" w:w="70"/>
              <w:right w:type="dxa" w:w="90"/>
            </w:tcMar>
          </w:tcPr>
          <w:p>
            <w:pPr>
              <w:spacing w:after="20" w:before="0"/>
              <w:jc w:val="center"/>
            </w:pPr>
            <w:r>
              <w:rPr>
                <w:rFonts w:ascii="Calibri" w:cs="Calibri" w:eastAsia="Calibri" w:hAnsi="Calibri"/>
                <w:b/>
                <w:bCs/>
                <w:color w:val="9B2169"/>
                <w:sz w:val="20"/>
                <w:szCs w:val="20"/>
              </w:rPr>
              <w:t xml:space="preserve">3</w:t>
            </w:r>
          </w:p>
          <w:p>
            <w:pPr>
              <w:spacing w:after="0" w:before="0"/>
              <w:jc w:val="center"/>
            </w:pPr>
            <w:r>
              <w:rPr>
                <w:rFonts w:ascii="Calibri" w:cs="Calibri" w:eastAsia="Calibri" w:hAnsi="Calibri"/>
                <w:color w:val="9B2169"/>
                <w:sz w:val="12"/>
                <w:szCs w:val="12"/>
              </w:rPr>
              <w:t xml:space="preserve">★★★☆☆</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Third citation for the confirmed role-split trend. Reframe: "learning speed is bounded by synthesis speed."</w:t>
            </w:r>
          </w:p>
        </w:tc>
        <w:tc>
          <w:tcPr>
            <w:tcW w:type="dxa" w:w="2750"/>
            <w:shd w:fill="F7F4F7" w:color="auto" w:val="clear"/>
            <w:tcMar>
              <w:top w:type="dxa" w:w="70"/>
              <w:left w:type="dxa" w:w="90"/>
              <w:bottom w:type="dxa" w:w="70"/>
              <w:right w:type="dxa" w:w="90"/>
            </w:tcMar>
          </w:tcPr>
          <w:p>
            <w:pPr>
              <w:spacing w:after="0" w:before="0"/>
            </w:pPr>
            <w:r>
              <w:rPr>
                <w:rFonts w:ascii="Calibri" w:cs="Calibri" w:eastAsia="Calibri" w:hAnsi="Calibri"/>
                <w:b w:val="false"/>
                <w:bCs w:val="false"/>
                <w:i w:val="false"/>
                <w:iCs w:val="false"/>
                <w:color w:val="1E1E1E"/>
                <w:sz w:val="15"/>
                <w:szCs w:val="15"/>
              </w:rPr>
              <w:t xml:space="preserve">A third independent source landing on strategy and judgment over tooling — three publications converging in one month makes this a confirmed trend worth building narrative on. "Learning speed as moat" is a strong reframe: the constraint on learning speed is how fast a team can synthesize customer signal.</w:t>
            </w:r>
          </w:p>
        </w:tc>
      </w:tr>
    </w:tbl>
    <w:p>
      <w:pPr>
        <w:pStyle w:val="Heading1"/>
        <w:spacing w:after="120" w:before="200"/>
      </w:pPr>
      <w:r>
        <w:rPr>
          <w:rFonts w:ascii="Calibri" w:cs="Calibri" w:eastAsia="Calibri" w:hAnsi="Calibri"/>
          <w:b/>
          <w:bCs/>
          <w:color w:val="3F043E"/>
          <w:sz w:val="30"/>
          <w:szCs w:val="30"/>
        </w:rPr>
        <w:t xml:space="preserve">Recommended Next Actions</w:t>
      </w:r>
    </w:p>
    <w:p>
      <w:pPr>
        <w:pStyle w:val="ListParagraph"/>
        <w:numPr>
          <w:ilvl w:val="0"/>
          <w:numId w:val="2"/>
        </w:numPr>
        <w:spacing w:after="130"/>
      </w:pPr>
      <w:r>
        <w:rPr>
          <w:rFonts w:ascii="Calibri" w:cs="Calibri" w:eastAsia="Calibri" w:hAnsi="Calibri"/>
          <w:b/>
          <w:bCs/>
          <w:sz w:val="18"/>
          <w:szCs w:val="18"/>
        </w:rPr>
        <w:t xml:space="preserve">Publish the "two context layers" POV within 72 hours. </w:t>
      </w:r>
      <w:r>
        <w:rPr>
          <w:rFonts w:ascii="Calibri" w:cs="Calibri" w:eastAsia="Calibri" w:hAnsi="Calibri"/>
          <w:sz w:val="18"/>
          <w:szCs w:val="18"/>
        </w:rPr>
        <w:t xml:space="preserve">The Jira launch is the biggest item in the category feed right now and reactive posts will meaningfully outperform evergreen ones. Agree with Atlassian's diagnosis, disagree with their inputs, and do not attack the product — generous-but-differentiated consistently outperforms a competitive swipe on a launch of this size. Owner: CEO + content. Assets: Steven Cohn LinkedIn post, company post, blog.</w:t>
      </w:r>
    </w:p>
    <w:p>
      <w:pPr>
        <w:pStyle w:val="ListParagraph"/>
        <w:numPr>
          <w:ilvl w:val="0"/>
          <w:numId w:val="2"/>
        </w:numPr>
        <w:spacing w:after="130"/>
      </w:pPr>
      <w:r>
        <w:rPr>
          <w:rFonts w:ascii="Calibri" w:cs="Calibri" w:eastAsia="Calibri" w:hAnsi="Calibri"/>
          <w:b/>
          <w:bCs/>
          <w:sz w:val="18"/>
          <w:szCs w:val="18"/>
        </w:rPr>
        <w:t xml:space="preserve">Brief sales on Productboard's restructuring this week and ship a displacement kit. </w:t>
      </w:r>
      <w:r>
        <w:rPr>
          <w:rFonts w:ascii="Calibri" w:cs="Calibri" w:eastAsia="Calibri" w:hAnsi="Calibri"/>
          <w:sz w:val="18"/>
          <w:szCs w:val="18"/>
        </w:rPr>
        <w:t xml:space="preserve">A one-page vendor-stability card, a "Productboard alternative" comparison page and a migration guide. Their July 8 API v1 sunset created a live integration-migration moment worth targeting. Tone discipline is non-negotiable: state the public record, never speculate about their future, never gloat.</w:t>
      </w:r>
    </w:p>
    <w:p>
      <w:pPr>
        <w:pStyle w:val="ListParagraph"/>
        <w:numPr>
          <w:ilvl w:val="0"/>
          <w:numId w:val="2"/>
        </w:numPr>
        <w:spacing w:after="130"/>
      </w:pPr>
      <w:r>
        <w:rPr>
          <w:rFonts w:ascii="Calibri" w:cs="Calibri" w:eastAsia="Calibri" w:hAnsi="Calibri"/>
          <w:b/>
          <w:bCs/>
          <w:sz w:val="18"/>
          <w:szCs w:val="18"/>
        </w:rPr>
        <w:t xml:space="preserve">Get an MCP/interop position onto the public roadmap. </w:t>
      </w:r>
      <w:r>
        <w:rPr>
          <w:rFonts w:ascii="Calibri" w:cs="Calibri" w:eastAsia="Calibri" w:hAnsi="Calibri"/>
          <w:sz w:val="18"/>
          <w:szCs w:val="18"/>
        </w:rPr>
        <w:t xml:space="preserve">Three competitors shipped it this quarter. This is moving from differentiator to checkbox and its absence will start costing enterprise deals — particularly in finance and insurance — by Q4.</w:t>
      </w:r>
    </w:p>
    <w:p>
      <w:pPr>
        <w:pStyle w:val="ListParagraph"/>
        <w:numPr>
          <w:ilvl w:val="0"/>
          <w:numId w:val="2"/>
        </w:numPr>
        <w:spacing w:after="130"/>
      </w:pPr>
      <w:r>
        <w:rPr>
          <w:rFonts w:ascii="Calibri" w:cs="Calibri" w:eastAsia="Calibri" w:hAnsi="Calibri"/>
          <w:b/>
          <w:bCs/>
          <w:sz w:val="18"/>
          <w:szCs w:val="18"/>
        </w:rPr>
        <w:t xml:space="preserve">Anchor Q3 demand generation on the 65%/10% gap. </w:t>
      </w:r>
      <w:r>
        <w:rPr>
          <w:rFonts w:ascii="Calibri" w:cs="Calibri" w:eastAsia="Calibri" w:hAnsi="Calibri"/>
          <w:sz w:val="18"/>
          <w:szCs w:val="18"/>
        </w:rPr>
        <w:t xml:space="preserve">Build the campaign around Atlassian's own data rather than ProductPlan's. Pair it with the State of Product Management 2026 finding (96% of PMs use AI; decision support delivers no measurable value yet) for a first-party/third-party one-two. Launch the webinar series on "Your agents have your tickets. Who has your customers?"</w:t>
      </w:r>
    </w:p>
    <w:p>
      <w:pPr>
        <w:pStyle w:val="ListParagraph"/>
        <w:numPr>
          <w:ilvl w:val="0"/>
          <w:numId w:val="2"/>
        </w:numPr>
        <w:spacing w:after="130"/>
      </w:pPr>
      <w:r>
        <w:rPr>
          <w:rFonts w:ascii="Calibri" w:cs="Calibri" w:eastAsia="Calibri" w:hAnsi="Calibri"/>
          <w:b/>
          <w:bCs/>
          <w:sz w:val="18"/>
          <w:szCs w:val="18"/>
        </w:rPr>
        <w:t xml:space="preserve">Keep monitoring: </w:t>
      </w:r>
      <w:r>
        <w:rPr>
          <w:rFonts w:ascii="Calibri" w:cs="Calibri" w:eastAsia="Calibri" w:hAnsi="Calibri"/>
          <w:sz w:val="18"/>
          <w:szCs w:val="18"/>
        </w:rPr>
        <w:t xml:space="preserve">Jira Planner's EAP graduation and whether spec generation moves upstream into product decisions; monday.com's July 27 credit-based Sidekick pricing change; Productboard's post-restructuring roadmap cadence; whether analysts adopt "context layer" as a category term; and the emerging "designing for AI evaluators" thread flagged by Mind the Product.</w:t>
      </w:r>
    </w:p>
    <w:p>
      <w:pPr>
        <w:pStyle w:val="Heading2"/>
        <w:spacing w:after="100" w:before="240"/>
      </w:pPr>
      <w:r>
        <w:rPr>
          <w:rFonts w:ascii="Calibri" w:cs="Calibri" w:eastAsia="Calibri" w:hAnsi="Calibri"/>
          <w:b/>
          <w:bCs/>
          <w:color w:val="9B2169"/>
          <w:sz w:val="22"/>
          <w:szCs w:val="22"/>
        </w:rPr>
        <w:t xml:space="preserve">What Did Not Move This Week</w:t>
      </w:r>
    </w:p>
    <w:p>
      <w:pPr>
        <w:spacing w:after="120"/>
      </w:pPr>
      <w:r>
        <w:rPr>
          <w:rFonts w:ascii="Calibri" w:cs="Calibri" w:eastAsia="Calibri" w:hAnsi="Calibri"/>
          <w:b w:val="false"/>
          <w:bCs w:val="false"/>
          <w:i w:val="false"/>
          <w:iCs w:val="false"/>
          <w:color w:val="1E1E1E"/>
          <w:sz w:val="17"/>
          <w:szCs w:val="17"/>
        </w:rPr>
        <w:t xml:space="preserve">No funding, M&amp;A or leadership news surfaced among Tier-2 or Tier-3 competitors (Craft.io, airfocus, Chisel, Hive, Wrike). The research-tool adjacency (Maze, UserTesting, Sprig, Dovetail) was similarly quiet. SVPG published nothing new in the window; Reforge and Product Led Alliance surfaced only evergreen course and event pages. This is a normal mid-summer pattern and not a signal in itself.</w:t>
      </w:r>
    </w:p>
    <w:p>
      <w:pPr>
        <w:spacing w:after="120"/>
      </w:pPr>
      <w:r>
        <w:rPr>
          <w:rFonts w:ascii="Calibri" w:cs="Calibri" w:eastAsia="Calibri" w:hAnsi="Calibri"/>
          <w:b w:val="false"/>
          <w:bCs w:val="false"/>
          <w:i/>
          <w:iCs/>
          <w:color w:val="888888"/>
          <w:sz w:val="15"/>
          <w:szCs w:val="15"/>
        </w:rPr>
        <w:t xml:space="preserve">Reported by the ProductPlan Weekly Market Intelligence scan · Live dashboard: https://payton-bloomtrue.github.io/productplan-intel/</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16"/>
      </w:pPr>
    </w:lvl>
  </w:abstractNum>
  <w:abstractNum w:abstractNumId="3" w15:restartNumberingAfterBreak="0">
    <w:multiLevelType w:val="hybridMultilevel"/>
    <w:lvl w:ilvl="0" w15:tentative="1">
      <w:start w:val="1"/>
      <w:numFmt w:val="bullet"/>
      <w:lvlText w:val="•"/>
      <w:lvlJc w:val="star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j2g4mkhehoxhzfaia4uz" Type="http://schemas.openxmlformats.org/officeDocument/2006/relationships/hyperlink" Target="https://finance.yahoo.com/technology/ai/articles/atlassian-announces-system-ai-native-200500756.html" TargetMode="External"/><Relationship Id="rIdjchsvymlprccdq9if_hqo" Type="http://schemas.openxmlformats.org/officeDocument/2006/relationships/hyperlink" Target="https://www.trueup.io/co/productboard/layoffs" TargetMode="External"/><Relationship Id="rId60hihrk_z3csqrjhayskg" Type="http://schemas.openxmlformats.org/officeDocument/2006/relationships/hyperlink" Target="https://monday.com/whats-new" TargetMode="External"/><Relationship Id="rIduy3rhz6gpbkvs73ozebzp" Type="http://schemas.openxmlformats.org/officeDocument/2006/relationships/hyperlink" Target="https://support.productboard.com/hc/en-us/articles/360060759874-Productboard-Release-Notes" TargetMode="External"/><Relationship Id="rIdpwqstng8dtewod4qx6enk" Type="http://schemas.openxmlformats.org/officeDocument/2006/relationships/hyperlink" Target="https://www.mindtheproduct.com/the-top-books-and-resources-for-product-builders-summer-2026-edition/" TargetMode="External"/><Relationship Id="rIdle-enrm7yt2qpqg4fcwtj" Type="http://schemas.openxmlformats.org/officeDocument/2006/relationships/hyperlink" Target="https://medium.productcoalition.com/redesign-work-before-you-add-more-ai-agents-c8987a13b4de" TargetMode="External"/><Relationship Id="rIdipvrtuhfhfs1opzr6aghi" Type="http://schemas.openxmlformats.org/officeDocument/2006/relationships/hyperlink" Target="https://www.aha.io/blog/most-popular-new-aha-features-launched-in-q2-2026" TargetMode="External"/><Relationship Id="rId2tot54vlxmvaup547hs3f" Type="http://schemas.openxmlformats.org/officeDocument/2006/relationships/hyperlink" Target="https://uxcam.com/blog/product-intelligence-platforms/" TargetMode="External"/><Relationship Id="rIdjxrywpe3o0k9gje54uptg" Type="http://schemas.openxmlformats.org/officeDocument/2006/relationships/hyperlink" Target="https://medium.productcoalition.com/everyone-wants-to-talk-about-ai-i-want-to-talk-about-business-a8d0460acf4f" TargetMode="External"/><Relationship Id="rIdwxd3_0ynulex4rttvlach" Type="http://schemas.openxmlformats.org/officeDocument/2006/relationships/hyperlink" Target="https://www.pragmaticinstitute.com/resources/articles/product/ai-agents-for-product-managers/" TargetMode="External"/><Relationship Id="rIduxhgapvornuba82pm-dns" Type="http://schemas.openxmlformats.org/officeDocument/2006/relationships/hyperlink" Target="https://www.sphericalinsights.com/reports/product-management-and-roadmapping-tool-market" TargetMode="External"/><Relationship Id="rId55w1xiozqfofj9w7akin5" Type="http://schemas.openxmlformats.org/officeDocument/2006/relationships/hyperlink" Target="https://productschool.com/blog/product-fundamentals/product-management-trend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2026-07-20T13:46:50.162Z</dcterms:created>
  <dcterms:modified xsi:type="dcterms:W3CDTF">2026-07-20T13:46:50.163Z</dcterms:modified>
</cp:coreProperties>
</file>

<file path=docProps/custom.xml><?xml version="1.0" encoding="utf-8"?>
<Properties xmlns="http://schemas.openxmlformats.org/officeDocument/2006/custom-properties" xmlns:vt="http://schemas.openxmlformats.org/officeDocument/2006/docPropsVTypes"/>
</file>