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ProductPlan — Weekly Market Intelligence</w:t>
      </w:r>
    </w:p>
    <w:p>
      <w:pPr>
        <w:spacing w:after="120"/>
      </w:pPr>
      <w:r>
        <w:rPr>
          <w:color w:val="666666"/>
          <w:sz w:val="16"/>
          <w:szCs w:val="16"/>
        </w:rPr>
        <w:t xml:space="preserve">Coverage: June 29 – July 6, 2026  ·  Product Intelligence Platform  ·  Next run: July 13, 2026</w:t>
      </w:r>
    </w:p>
    <w:p>
      <w:pPr>
        <w:pStyle w:val="Heading2"/>
      </w:pPr>
      <w:r>
        <w:t xml:space="preserve">Executive Note</w:t>
      </w:r>
    </w:p>
    <w:p>
      <w:pPr>
        <w:pStyle w:val="ListParagraph"/>
        <w:numPr>
          <w:ilvl w:val="0"/>
          <w:numId w:val="2"/>
        </w:numPr>
        <w:spacing w:after="80"/>
      </w:pPr>
      <w:r>
        <w:rPr>
          <w:b/>
          <w:bCs/>
          <w:sz w:val="16"/>
          <w:szCs w:val="16"/>
        </w:rPr>
        <w:t xml:space="preserve">Atlassian formalized the threat. </w:t>
      </w:r>
      <w:r>
        <w:rPr>
          <w:sz w:val="16"/>
          <w:szCs w:val="16"/>
        </w:rPr>
        <w:t xml:space="preserve">“Product Collection” + agentic Rovo roadmapping + the Rovo MCP Server (GA) is Atlassian explicitly claiming the customer-signal-to-decision layer — the exact space Winware occupies. The counter is signal breadth (Gong + surveys + CRM) and source-quote traceability, not “we have AI too.”</w:t>
      </w:r>
    </w:p>
    <w:p>
      <w:pPr>
        <w:pStyle w:val="ListParagraph"/>
        <w:numPr>
          <w:ilvl w:val="0"/>
          <w:numId w:val="2"/>
        </w:numPr>
        <w:spacing w:after="80"/>
      </w:pPr>
      <w:r>
        <w:rPr>
          <w:b/>
          <w:bCs/>
          <w:sz w:val="16"/>
          <w:szCs w:val="16"/>
        </w:rPr>
        <w:t xml:space="preserve">Competitors are moving from synthesis into workflow and pricing. </w:t>
      </w:r>
      <w:r>
        <w:rPr>
          <w:sz w:val="16"/>
          <w:szCs w:val="16"/>
        </w:rPr>
        <w:t xml:space="preserve">Productboard added Collaborative Docs + a Spark post-launch-evaluation flow; monday shipped “monday magic” and shifted Sidekick to consumption-based credits (July 27). Depth-over-breadth and purpose-built product context are the durable wedge.</w:t>
      </w:r>
    </w:p>
    <w:p>
      <w:pPr>
        <w:pStyle w:val="ListParagraph"/>
        <w:numPr>
          <w:ilvl w:val="0"/>
          <w:numId w:val="2"/>
        </w:numPr>
        <w:spacing w:after="140"/>
      </w:pPr>
      <w:r>
        <w:rPr>
          <w:b/>
          <w:bCs/>
          <w:sz w:val="16"/>
          <w:szCs w:val="16"/>
        </w:rPr>
        <w:t xml:space="preserve">The “evidence gap” demand story keeps compounding. </w:t>
      </w:r>
      <w:r>
        <w:rPr>
          <w:sz w:val="16"/>
          <w:szCs w:val="16"/>
        </w:rPr>
        <w:t xml:space="preserve">Atlassian’s State of Product 2026 (84% fear failure; 49% lack time for strategy/data) plus PLA’s finding that AI is used mainly to synthesize — not decide — hand ProductPlan a ready-made, human-in-the-loop narrative to own.</w:t>
      </w:r>
    </w:p>
    <w:p>
      <w:pPr>
        <w:pStyle w:val="Heading2"/>
      </w:pPr>
      <w:r>
        <w:t xml:space="preserve">Research Table (sorted by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450"/>
        <w:gridCol w:w="640"/>
        <w:gridCol w:w="1650"/>
        <w:gridCol w:w="1500"/>
        <w:gridCol w:w="1560"/>
        <w:gridCol w:w="1410"/>
      </w:tblGrid>
      <w:tr>
        <w:trPr>
          <w:tblHeader/>
        </w:trPr>
        <w:tc>
          <w:tcPr>
            <w:tcW w:type="dxa" w:w="1150"/>
            <w:shd w:fill="1F3B57" w:val="clear"/>
            <w:tcMar>
              <w:top w:type="dxa" w:w="60"/>
              <w:left w:type="dxa" w:w="90"/>
              <w:bottom w:type="dxa" w:w="60"/>
              <w:right w:type="dxa" w:w="90"/>
            </w:tcMar>
          </w:tcPr>
          <w:p>
            <w:r>
              <w:rPr>
                <w:b/>
                <w:bCs/>
                <w:color w:val="FFFFFF"/>
                <w:sz w:val="15"/>
                <w:szCs w:val="15"/>
              </w:rPr>
              <w:t xml:space="preserve">Article &amp; Source</w:t>
            </w:r>
          </w:p>
        </w:tc>
        <w:tc>
          <w:tcPr>
            <w:tcW w:type="dxa" w:w="1450"/>
            <w:shd w:fill="1F3B57" w:val="clear"/>
            <w:tcMar>
              <w:top w:type="dxa" w:w="60"/>
              <w:left w:type="dxa" w:w="90"/>
              <w:bottom w:type="dxa" w:w="60"/>
              <w:right w:type="dxa" w:w="90"/>
            </w:tcMar>
          </w:tcPr>
          <w:p>
            <w:r>
              <w:rPr>
                <w:b/>
                <w:bCs/>
                <w:color w:val="FFFFFF"/>
                <w:sz w:val="15"/>
                <w:szCs w:val="15"/>
              </w:rPr>
              <w:t xml:space="preserve">Summary</w:t>
            </w:r>
          </w:p>
        </w:tc>
        <w:tc>
          <w:tcPr>
            <w:tcW w:type="dxa" w:w="640"/>
            <w:shd w:fill="1F3B57" w:val="clear"/>
            <w:tcMar>
              <w:top w:type="dxa" w:w="60"/>
              <w:left w:type="dxa" w:w="90"/>
              <w:bottom w:type="dxa" w:w="60"/>
              <w:right w:type="dxa" w:w="90"/>
            </w:tcMar>
          </w:tcPr>
          <w:p>
            <w:r>
              <w:rPr>
                <w:b/>
                <w:bCs/>
                <w:color w:val="FFFFFF"/>
                <w:sz w:val="15"/>
                <w:szCs w:val="15"/>
              </w:rPr>
              <w:t xml:space="preserve">Score</w:t>
            </w:r>
          </w:p>
        </w:tc>
        <w:tc>
          <w:tcPr>
            <w:tcW w:type="dxa" w:w="1650"/>
            <w:shd w:fill="1F3B57" w:val="clear"/>
            <w:tcMar>
              <w:top w:type="dxa" w:w="60"/>
              <w:left w:type="dxa" w:w="90"/>
              <w:bottom w:type="dxa" w:w="60"/>
              <w:right w:type="dxa" w:w="90"/>
            </w:tcMar>
          </w:tcPr>
          <w:p>
            <w:r>
              <w:rPr>
                <w:b/>
                <w:bCs/>
                <w:color w:val="FFFFFF"/>
                <w:sz w:val="15"/>
                <w:szCs w:val="15"/>
              </w:rPr>
              <w:t xml:space="preserve">Keywords (context)</w:t>
            </w:r>
          </w:p>
        </w:tc>
        <w:tc>
          <w:tcPr>
            <w:tcW w:type="dxa" w:w="1500"/>
            <w:shd w:fill="1F3B57" w:val="clear"/>
            <w:tcMar>
              <w:top w:type="dxa" w:w="60"/>
              <w:left w:type="dxa" w:w="90"/>
              <w:bottom w:type="dxa" w:w="60"/>
              <w:right w:type="dxa" w:w="90"/>
            </w:tcMar>
          </w:tcPr>
          <w:p>
            <w:r>
              <w:rPr>
                <w:b/>
                <w:bCs/>
                <w:color w:val="FFFFFF"/>
                <w:sz w:val="15"/>
                <w:szCs w:val="15"/>
              </w:rPr>
              <w:t xml:space="preserve">Why It Matters</w:t>
            </w:r>
          </w:p>
        </w:tc>
        <w:tc>
          <w:tcPr>
            <w:tcW w:type="dxa" w:w="1560"/>
            <w:shd w:fill="1F3B57" w:val="clear"/>
            <w:tcMar>
              <w:top w:type="dxa" w:w="60"/>
              <w:left w:type="dxa" w:w="90"/>
              <w:bottom w:type="dxa" w:w="60"/>
              <w:right w:type="dxa" w:w="90"/>
            </w:tcMar>
          </w:tcPr>
          <w:p>
            <w:r>
              <w:rPr>
                <w:b/>
                <w:bCs/>
                <w:color w:val="FFFFFF"/>
                <w:sz w:val="15"/>
                <w:szCs w:val="15"/>
              </w:rPr>
              <w:t xml:space="preserve">How ProductPlan Fits</w:t>
            </w:r>
          </w:p>
        </w:tc>
        <w:tc>
          <w:tcPr>
            <w:tcW w:type="dxa" w:w="1410"/>
            <w:shd w:fill="1F3B57" w:val="clear"/>
            <w:tcMar>
              <w:top w:type="dxa" w:w="60"/>
              <w:left w:type="dxa" w:w="90"/>
              <w:bottom w:type="dxa" w:w="60"/>
              <w:right w:type="dxa" w:w="90"/>
            </w:tcMar>
          </w:tcPr>
          <w:p>
            <w:r>
              <w:rPr>
                <w:b/>
                <w:bCs/>
                <w:color w:val="FFFFFF"/>
                <w:sz w:val="15"/>
                <w:szCs w:val="15"/>
              </w:rPr>
              <w:t xml:space="preserve">Ways to Engage</w:t>
            </w:r>
          </w:p>
        </w:tc>
      </w:tr>
      <w:tr>
        <w:tc>
          <w:tcPr>
            <w:tcW w:type="dxa" w:w="1150"/>
            <w:shd w:fill="FFFFFF" w:val="clear"/>
            <w:tcMar>
              <w:top w:type="dxa" w:w="60"/>
              <w:left w:type="dxa" w:w="90"/>
              <w:bottom w:type="dxa" w:w="60"/>
              <w:right w:type="dxa" w:w="90"/>
            </w:tcMar>
          </w:tcPr>
          <w:p>
            <w:pPr>
              <w:spacing w:after="30"/>
            </w:pPr>
            <w:hyperlink w:history="1" r:id="rIdjews4qmnx_jtwsmyusicd">
              <w:r>
                <w:rPr>
                  <w:rStyle w:val="Hyperlink"/>
                  <w:b/>
                  <w:bCs/>
                  <w:sz w:val="14"/>
                  <w:szCs w:val="14"/>
                </w:rPr>
                <w:t xml:space="preserve">Introducing Product Collection: Built for better decisions, in the AI era</w:t>
              </w:r>
            </w:hyperlink>
          </w:p>
          <w:p>
            <w:pPr>
              <w:spacing w:after="40"/>
            </w:pPr>
            <w:r>
              <w:rPr>
                <w:color w:val="666666"/>
                <w:sz w:val="12"/>
                <w:szCs w:val="12"/>
              </w:rPr>
              <w:t xml:space="preserve">Inside Atlassian (company blog) + Rovo MCP Server GA</w:t>
            </w:r>
          </w:p>
          <w:p>
            <w:pPr>
              <w:spacing w:after="40"/>
            </w:pPr>
            <w:r>
              <w:rPr>
                <w:color w:val="666666"/>
                <w:sz w:val="12"/>
                <w:szCs w:val="12"/>
              </w:rPr>
              <w:t xml:space="preserve">Early July 2026</w:t>
            </w:r>
          </w:p>
        </w:tc>
        <w:tc>
          <w:tcPr>
            <w:tcW w:type="dxa" w:w="1450"/>
            <w:shd w:fill="FFFFFF" w:val="clear"/>
            <w:tcMar>
              <w:top w:type="dxa" w:w="60"/>
              <w:left w:type="dxa" w:w="90"/>
              <w:bottom w:type="dxa" w:w="60"/>
              <w:right w:type="dxa" w:w="90"/>
            </w:tcMar>
          </w:tcPr>
          <w:p>
            <w:pPr>
              <w:spacing w:after="40"/>
            </w:pPr>
            <w:r>
              <w:rPr>
                <w:sz w:val="13"/>
                <w:szCs w:val="13"/>
              </w:rPr>
              <w:t xml:space="preserve">Atlassian is packaging JPD + the Feedback app + Rovo into “Product Collection,” an AI product-operating layer that ingests support tickets, sales calls, CRM and Slack and turns them into insights that flow into the roadmap. Rovo now does agentic roadmapping — generating, refining and evolving roadmaps as goals shift — and Atlassian shipped the Rovo MCP Server (GA), giving Claude, Cursor and Gemini secure access to Jira/Confluence. The biggest competitor is now explicitly attacking the customer-signal-to-decision layer.</w:t>
            </w:r>
          </w:p>
        </w:tc>
        <w:tc>
          <w:tcPr>
            <w:tcW w:type="dxa" w:w="640"/>
            <w:shd w:fill="FFFFFF" w:val="clear"/>
            <w:tcMar>
              <w:top w:type="dxa" w:w="60"/>
              <w:left w:type="dxa" w:w="90"/>
              <w:bottom w:type="dxa" w:w="60"/>
              <w:right w:type="dxa" w:w="90"/>
            </w:tcMar>
          </w:tcPr>
          <w:p>
            <w:pPr>
              <w:jc w:val="center"/>
            </w:pPr>
            <w:r>
              <w:rPr>
                <w:color w:val="B7770D"/>
                <w:sz w:val="15"/>
                <w:szCs w:val="15"/>
              </w:rPr>
              <w:t xml:space="preserve">★★★★★</w:t>
            </w:r>
          </w:p>
          <w:p>
            <w:pPr>
              <w:jc w:val="center"/>
            </w:pPr>
            <w:r>
              <w:rPr>
                <w:b/>
                <w:bCs/>
                <w:sz w:val="13"/>
                <w:szCs w:val="13"/>
              </w:rPr>
              <w:t xml:space="preserve">5/5</w:t>
            </w:r>
          </w:p>
        </w:tc>
        <w:tc>
          <w:tcPr>
            <w:tcW w:type="dxa" w:w="1650"/>
            <w:shd w:fill="FFFFFF" w:val="clear"/>
            <w:tcMar>
              <w:top w:type="dxa" w:w="60"/>
              <w:left w:type="dxa" w:w="90"/>
              <w:bottom w:type="dxa" w:w="60"/>
              <w:right w:type="dxa" w:w="90"/>
            </w:tcMar>
          </w:tcPr>
          <w:p>
            <w:pPr>
              <w:spacing w:after="40"/>
            </w:pPr>
            <w:r>
              <w:rPr>
                <w:sz w:val="13"/>
                <w:szCs w:val="13"/>
              </w:rPr>
              <w:t xml:space="preserve">“product intelligence,” “AI product management,” “product roadmapping” — central; Atlassian is claiming the decision/synthesis layer, not just delivery.</w:t>
            </w:r>
          </w:p>
        </w:tc>
        <w:tc>
          <w:tcPr>
            <w:tcW w:type="dxa" w:w="1500"/>
            <w:shd w:fill="FFFFFF" w:val="clear"/>
            <w:tcMar>
              <w:top w:type="dxa" w:w="60"/>
              <w:left w:type="dxa" w:w="90"/>
              <w:bottom w:type="dxa" w:w="60"/>
              <w:right w:type="dxa" w:w="90"/>
            </w:tcMar>
          </w:tcPr>
          <w:p>
            <w:pPr>
              <w:spacing w:after="40"/>
            </w:pPr>
            <w:r>
              <w:rPr>
                <w:sz w:val="13"/>
                <w:szCs w:val="13"/>
              </w:rPr>
              <w:t xml:space="preserve">Biggest competitor AND partner now attacks ProductPlan’s prioritization/roadmap core with a feedback engine that mirrors Winware; suite-bundling raises the best-of-breed objection.</w:t>
            </w:r>
          </w:p>
        </w:tc>
        <w:tc>
          <w:tcPr>
            <w:tcW w:type="dxa" w:w="1560"/>
            <w:shd w:fill="FFFFFF" w:val="clear"/>
            <w:tcMar>
              <w:top w:type="dxa" w:w="60"/>
              <w:left w:type="dxa" w:w="90"/>
              <w:bottom w:type="dxa" w:w="60"/>
              <w:right w:type="dxa" w:w="90"/>
            </w:tcMar>
          </w:tcPr>
          <w:p>
            <w:pPr>
              <w:spacing w:after="40"/>
            </w:pPr>
            <w:r>
              <w:rPr>
                <w:sz w:val="13"/>
                <w:szCs w:val="13"/>
              </w:rPr>
              <w:t xml:space="preserve">Rovo reasons over Jira delivery data; ProductPlan + Winware reason over external customer &amp; market signal (Gong + surveys + CRM) with source-quote traceability.</w:t>
            </w:r>
          </w:p>
        </w:tc>
        <w:tc>
          <w:tcPr>
            <w:tcW w:type="dxa" w:w="1410"/>
            <w:shd w:fill="FFFFFF" w:val="clear"/>
            <w:tcMar>
              <w:top w:type="dxa" w:w="60"/>
              <w:left w:type="dxa" w:w="90"/>
              <w:bottom w:type="dxa" w:w="60"/>
              <w:right w:type="dxa" w:w="90"/>
            </w:tcMar>
          </w:tcPr>
          <w:p>
            <w:pPr>
              <w:spacing w:after="40"/>
            </w:pPr>
            <w:r>
              <w:rPr>
                <w:sz w:val="13"/>
                <w:szCs w:val="13"/>
              </w:rPr>
              <w:t xml:space="preserve">Executive briefing on suite-bundling threat; sales talking point (best-of-breed intelligence vs. locked suite); CEO LinkedIn POV that agentic roadmaps are only as good as the customer evidence behind them.</w:t>
            </w:r>
          </w:p>
        </w:tc>
      </w:tr>
      <w:tr>
        <w:tc>
          <w:tcPr>
            <w:tcW w:type="dxa" w:w="1150"/>
            <w:shd w:fill="F4F8FB" w:val="clear"/>
            <w:tcMar>
              <w:top w:type="dxa" w:w="60"/>
              <w:left w:type="dxa" w:w="90"/>
              <w:bottom w:type="dxa" w:w="60"/>
              <w:right w:type="dxa" w:w="90"/>
            </w:tcMar>
          </w:tcPr>
          <w:p>
            <w:pPr>
              <w:spacing w:after="30"/>
            </w:pPr>
            <w:hyperlink w:history="1" r:id="rIdba_w32ei6xowvmv62z_u9">
              <w:r>
                <w:rPr>
                  <w:rStyle w:val="Hyperlink"/>
                  <w:b/>
                  <w:bCs/>
                  <w:sz w:val="14"/>
                  <w:szCs w:val="14"/>
                </w:rPr>
                <w:t xml:space="preserve">Productboard ships Collaborative Docs and a Spark post-launch evaluation flow</w:t>
              </w:r>
            </w:hyperlink>
          </w:p>
          <w:p>
            <w:pPr>
              <w:spacing w:after="40"/>
            </w:pPr>
            <w:r>
              <w:rPr>
                <w:color w:val="666666"/>
                <w:sz w:val="12"/>
                <w:szCs w:val="12"/>
              </w:rPr>
              <w:t xml:space="preserve">Productboard Release Notes / Support</w:t>
            </w:r>
          </w:p>
          <w:p>
            <w:pPr>
              <w:spacing w:after="40"/>
            </w:pPr>
            <w:r>
              <w:rPr>
                <w:color w:val="666666"/>
                <w:sz w:val="12"/>
                <w:szCs w:val="12"/>
              </w:rPr>
              <w:t xml:space="preserve">~July 1, 2026 (API v1 sunset July 8)</w:t>
            </w:r>
          </w:p>
        </w:tc>
        <w:tc>
          <w:tcPr>
            <w:tcW w:type="dxa" w:w="1450"/>
            <w:shd w:fill="F4F8FB" w:val="clear"/>
            <w:tcMar>
              <w:top w:type="dxa" w:w="60"/>
              <w:left w:type="dxa" w:w="90"/>
              <w:bottom w:type="dxa" w:w="60"/>
              <w:right w:type="dxa" w:w="90"/>
            </w:tcMar>
          </w:tcPr>
          <w:p>
            <w:pPr>
              <w:spacing w:after="40"/>
            </w:pPr>
            <w:r>
              <w:rPr>
                <w:sz w:val="13"/>
                <w:szCs w:val="13"/>
              </w:rPr>
              <w:t xml:space="preserve">The closest direct competitor expanded beyond synthesis into workflow: new Collaborative Docs give product teams a unified space for strategy, release and launch plans, while Spark added a guided /post-launch-evaluation that auto-generates a structured review document. Public API v2 is GA and v1 sunsets July 8. Productboard is moving from “AI that summarizes feedback” toward owning the full product-doc surface.</w:t>
            </w:r>
          </w:p>
        </w:tc>
        <w:tc>
          <w:tcPr>
            <w:tcW w:type="dxa" w:w="640"/>
            <w:shd w:fill="F4F8FB" w:val="clear"/>
            <w:tcMar>
              <w:top w:type="dxa" w:w="60"/>
              <w:left w:type="dxa" w:w="90"/>
              <w:bottom w:type="dxa" w:w="60"/>
              <w:right w:type="dxa" w:w="90"/>
            </w:tcMar>
          </w:tcPr>
          <w:p>
            <w:pPr>
              <w:jc w:val="center"/>
            </w:pPr>
            <w:r>
              <w:rPr>
                <w:color w:val="B7770D"/>
                <w:sz w:val="15"/>
                <w:szCs w:val="15"/>
              </w:rPr>
              <w:t xml:space="preserve">★★★★★</w:t>
            </w:r>
          </w:p>
          <w:p>
            <w:pPr>
              <w:jc w:val="center"/>
            </w:pPr>
            <w:r>
              <w:rPr>
                <w:b/>
                <w:bCs/>
                <w:sz w:val="13"/>
                <w:szCs w:val="13"/>
              </w:rPr>
              <w:t xml:space="preserve">5/5</w:t>
            </w:r>
          </w:p>
        </w:tc>
        <w:tc>
          <w:tcPr>
            <w:tcW w:type="dxa" w:w="1650"/>
            <w:shd w:fill="F4F8FB" w:val="clear"/>
            <w:tcMar>
              <w:top w:type="dxa" w:w="60"/>
              <w:left w:type="dxa" w:w="90"/>
              <w:bottom w:type="dxa" w:w="60"/>
              <w:right w:type="dxa" w:w="90"/>
            </w:tcMar>
          </w:tcPr>
          <w:p>
            <w:pPr>
              <w:spacing w:after="40"/>
            </w:pPr>
            <w:r>
              <w:rPr>
                <w:sz w:val="13"/>
                <w:szCs w:val="13"/>
              </w:rPr>
              <w:t xml:space="preserve">“product management software,” “AI product management” — central; Spark automation is the headline.</w:t>
            </w:r>
          </w:p>
        </w:tc>
        <w:tc>
          <w:tcPr>
            <w:tcW w:type="dxa" w:w="1500"/>
            <w:shd w:fill="F4F8FB" w:val="clear"/>
            <w:tcMar>
              <w:top w:type="dxa" w:w="60"/>
              <w:left w:type="dxa" w:w="90"/>
              <w:bottom w:type="dxa" w:w="60"/>
              <w:right w:type="dxa" w:w="90"/>
            </w:tcMar>
          </w:tcPr>
          <w:p>
            <w:pPr>
              <w:spacing w:after="40"/>
            </w:pPr>
            <w:r>
              <w:rPr>
                <w:sz w:val="13"/>
                <w:szCs w:val="13"/>
              </w:rPr>
              <w:t xml:space="preserve">The closest direct competitor keeps compounding AI + workflow; the marketing volume rises even if signal breadth doesn’t.</w:t>
            </w:r>
          </w:p>
        </w:tc>
        <w:tc>
          <w:tcPr>
            <w:tcW w:type="dxa" w:w="1560"/>
            <w:shd w:fill="F4F8FB" w:val="clear"/>
            <w:tcMar>
              <w:top w:type="dxa" w:w="60"/>
              <w:left w:type="dxa" w:w="90"/>
              <w:bottom w:type="dxa" w:w="60"/>
              <w:right w:type="dxa" w:w="90"/>
            </w:tcMar>
          </w:tcPr>
          <w:p>
            <w:pPr>
              <w:spacing w:after="40"/>
            </w:pPr>
            <w:r>
              <w:rPr>
                <w:sz w:val="13"/>
                <w:szCs w:val="13"/>
              </w:rPr>
              <w:t xml:space="preserve">Spark works mostly on feedback captured inside Productboard. Winware spans external signal (calls, surveys, CRM) and ties every theme to a traceable customer quote — breadth + trust are the wedge.</w:t>
            </w:r>
          </w:p>
        </w:tc>
        <w:tc>
          <w:tcPr>
            <w:tcW w:type="dxa" w:w="1410"/>
            <w:shd w:fill="F4F8FB" w:val="clear"/>
            <w:tcMar>
              <w:top w:type="dxa" w:w="60"/>
              <w:left w:type="dxa" w:w="90"/>
              <w:bottom w:type="dxa" w:w="60"/>
              <w:right w:type="dxa" w:w="90"/>
            </w:tcMar>
          </w:tcPr>
          <w:p>
            <w:pPr>
              <w:spacing w:after="40"/>
            </w:pPr>
            <w:r>
              <w:rPr>
                <w:sz w:val="13"/>
                <w:szCs w:val="13"/>
              </w:rPr>
              <w:t xml:space="preserve">Update the Productboard battlecard; competitive teardown (Spark docs vs. ProductPlan evidence trail); LinkedIn POV on trustworthy vs. black-box synthesis.</w:t>
            </w:r>
          </w:p>
        </w:tc>
      </w:tr>
      <w:tr>
        <w:tc>
          <w:tcPr>
            <w:tcW w:type="dxa" w:w="1150"/>
            <w:shd w:fill="FFFFFF" w:val="clear"/>
            <w:tcMar>
              <w:top w:type="dxa" w:w="60"/>
              <w:left w:type="dxa" w:w="90"/>
              <w:bottom w:type="dxa" w:w="60"/>
              <w:right w:type="dxa" w:w="90"/>
            </w:tcMar>
          </w:tcPr>
          <w:p>
            <w:pPr>
              <w:spacing w:after="30"/>
            </w:pPr>
            <w:hyperlink w:history="1" r:id="rIdvkuet4htyltknb3f6089i">
              <w:r>
                <w:rPr>
                  <w:rStyle w:val="Hyperlink"/>
                  <w:b/>
                  <w:bCs/>
                  <w:sz w:val="14"/>
                  <w:szCs w:val="14"/>
                </w:rPr>
                <w:t xml:space="preserve">State of Product Report 2026: key findings from 1,000+ product teams</w:t>
              </w:r>
            </w:hyperlink>
          </w:p>
          <w:p>
            <w:pPr>
              <w:spacing w:after="40"/>
            </w:pPr>
            <w:r>
              <w:rPr>
                <w:color w:val="666666"/>
                <w:sz w:val="12"/>
                <w:szCs w:val="12"/>
              </w:rPr>
              <w:t xml:space="preserve">Atlassian (Jira Product Discovery)</w:t>
            </w:r>
          </w:p>
          <w:p>
            <w:pPr>
              <w:spacing w:after="40"/>
            </w:pPr>
            <w:r>
              <w:rPr>
                <w:color w:val="666666"/>
                <w:sz w:val="12"/>
                <w:szCs w:val="12"/>
              </w:rPr>
              <w:t xml:space="preserve">2026 (circulating this week)</w:t>
            </w:r>
          </w:p>
        </w:tc>
        <w:tc>
          <w:tcPr>
            <w:tcW w:type="dxa" w:w="1450"/>
            <w:shd w:fill="FFFFFF" w:val="clear"/>
            <w:tcMar>
              <w:top w:type="dxa" w:w="60"/>
              <w:left w:type="dxa" w:w="90"/>
              <w:bottom w:type="dxa" w:w="60"/>
              <w:right w:type="dxa" w:w="90"/>
            </w:tcMar>
          </w:tcPr>
          <w:p>
            <w:pPr>
              <w:spacing w:after="40"/>
            </w:pPr>
            <w:r>
              <w:rPr>
                <w:sz w:val="13"/>
                <w:szCs w:val="13"/>
              </w:rPr>
              <w:t xml:space="preserve">Atlassian’s survey of 1,000+ product pros found 84% are concerned their current products won’t succeed, 49% don’t have enough time for strategic planning or data analysis, and teams win back up to two hours a day with AI but still can’t make time for strategy. Profit is the #1 company focus yet only 12% of product teams find it rewarding. It is the definitive “evidence gap” data asset of the season.</w:t>
            </w:r>
          </w:p>
        </w:tc>
        <w:tc>
          <w:tcPr>
            <w:tcW w:type="dxa" w:w="640"/>
            <w:shd w:fill="FFFFFF" w:val="clear"/>
            <w:tcMar>
              <w:top w:type="dxa" w:w="60"/>
              <w:left w:type="dxa" w:w="90"/>
              <w:bottom w:type="dxa" w:w="60"/>
              <w:right w:type="dxa" w:w="90"/>
            </w:tcMar>
          </w:tcPr>
          <w:p>
            <w:pPr>
              <w:jc w:val="center"/>
            </w:pPr>
            <w:r>
              <w:rPr>
                <w:color w:val="B7770D"/>
                <w:sz w:val="15"/>
                <w:szCs w:val="15"/>
              </w:rPr>
              <w:t xml:space="preserve">★★★★★</w:t>
            </w:r>
          </w:p>
          <w:p>
            <w:pPr>
              <w:jc w:val="center"/>
            </w:pPr>
            <w:r>
              <w:rPr>
                <w:b/>
                <w:bCs/>
                <w:sz w:val="13"/>
                <w:szCs w:val="13"/>
              </w:rPr>
              <w:t xml:space="preserve">5/5</w:t>
            </w:r>
          </w:p>
        </w:tc>
        <w:tc>
          <w:tcPr>
            <w:tcW w:type="dxa" w:w="1650"/>
            <w:shd w:fill="FFFFFF" w:val="clear"/>
            <w:tcMar>
              <w:top w:type="dxa" w:w="60"/>
              <w:left w:type="dxa" w:w="90"/>
              <w:bottom w:type="dxa" w:w="60"/>
              <w:right w:type="dxa" w:w="90"/>
            </w:tcMar>
          </w:tcPr>
          <w:p>
            <w:pPr>
              <w:spacing w:after="40"/>
            </w:pPr>
            <w:r>
              <w:rPr>
                <w:sz w:val="13"/>
                <w:szCs w:val="13"/>
              </w:rPr>
              <w:t xml:space="preserve">“product prioritization,” “data-driven product decisions” — central; quantifies decisions made without evidence.</w:t>
            </w:r>
          </w:p>
        </w:tc>
        <w:tc>
          <w:tcPr>
            <w:tcW w:type="dxa" w:w="1500"/>
            <w:shd w:fill="FFFFFF" w:val="clear"/>
            <w:tcMar>
              <w:top w:type="dxa" w:w="60"/>
              <w:left w:type="dxa" w:w="90"/>
              <w:bottom w:type="dxa" w:w="60"/>
              <w:right w:type="dxa" w:w="90"/>
            </w:tcMar>
          </w:tcPr>
          <w:p>
            <w:pPr>
              <w:spacing w:after="40"/>
            </w:pPr>
            <w:r>
              <w:rPr>
                <w:sz w:val="13"/>
                <w:szCs w:val="13"/>
              </w:rPr>
              <w:t xml:space="preserve">Quantifies ProductPlan’s core ICP pain point (no time to synthesize, decisions without data). Strongest demand-creation hook.</w:t>
            </w:r>
          </w:p>
        </w:tc>
        <w:tc>
          <w:tcPr>
            <w:tcW w:type="dxa" w:w="1560"/>
            <w:shd w:fill="FFFFFF" w:val="clear"/>
            <w:tcMar>
              <w:top w:type="dxa" w:w="60"/>
              <w:left w:type="dxa" w:w="90"/>
              <w:bottom w:type="dxa" w:w="60"/>
              <w:right w:type="dxa" w:w="90"/>
            </w:tcMar>
          </w:tcPr>
          <w:p>
            <w:pPr>
              <w:spacing w:after="40"/>
            </w:pPr>
            <w:r>
              <w:rPr>
                <w:sz w:val="13"/>
                <w:szCs w:val="13"/>
              </w:rPr>
              <w:t xml:space="preserve">Position Product Intelligence as the fix that closes the evidence gap — customer signal synthesized into defensible priorities.</w:t>
            </w:r>
          </w:p>
        </w:tc>
        <w:tc>
          <w:tcPr>
            <w:tcW w:type="dxa" w:w="1410"/>
            <w:shd w:fill="FFFFFF" w:val="clear"/>
            <w:tcMar>
              <w:top w:type="dxa" w:w="60"/>
              <w:left w:type="dxa" w:w="90"/>
              <w:bottom w:type="dxa" w:w="60"/>
              <w:right w:type="dxa" w:w="90"/>
            </w:tcMar>
          </w:tcPr>
          <w:p>
            <w:pPr>
              <w:spacing w:after="40"/>
            </w:pPr>
            <w:r>
              <w:rPr>
                <w:sz w:val="13"/>
                <w:szCs w:val="13"/>
              </w:rPr>
              <w:t xml:space="preserve">Anchor stat for a LinkedIn carousel + gated asset; webinar framing; email nurture hook for Director+ segment.</w:t>
            </w:r>
          </w:p>
        </w:tc>
      </w:tr>
      <w:tr>
        <w:tc>
          <w:tcPr>
            <w:tcW w:type="dxa" w:w="1150"/>
            <w:shd w:fill="F4F8FB" w:val="clear"/>
            <w:tcMar>
              <w:top w:type="dxa" w:w="60"/>
              <w:left w:type="dxa" w:w="90"/>
              <w:bottom w:type="dxa" w:w="60"/>
              <w:right w:type="dxa" w:w="90"/>
            </w:tcMar>
          </w:tcPr>
          <w:p>
            <w:pPr>
              <w:spacing w:after="30"/>
            </w:pPr>
            <w:hyperlink w:history="1" r:id="rIdtoe0jcgvexl1s-6-rpgy1">
              <w:r>
                <w:rPr>
                  <w:rStyle w:val="Hyperlink"/>
                  <w:b/>
                  <w:bCs/>
                  <w:sz w:val="14"/>
                  <w:szCs w:val="14"/>
                </w:rPr>
                <w:t xml:space="preserve">monday magic + Sidekick credit-based pricing: monday.com deepens AI Work Platform</w:t>
              </w:r>
            </w:hyperlink>
          </w:p>
          <w:p>
            <w:pPr>
              <w:spacing w:after="40"/>
            </w:pPr>
            <w:r>
              <w:rPr>
                <w:color w:val="666666"/>
                <w:sz w:val="12"/>
                <w:szCs w:val="12"/>
              </w:rPr>
              <w:t xml:space="preserve">monday.com (What’s New / Support)</w:t>
            </w:r>
          </w:p>
          <w:p>
            <w:pPr>
              <w:spacing w:after="40"/>
            </w:pPr>
            <w:r>
              <w:rPr>
                <w:color w:val="666666"/>
                <w:sz w:val="12"/>
                <w:szCs w:val="12"/>
              </w:rPr>
              <w:t xml:space="preserve">July 8 &amp; July 27, 2026</w:t>
            </w:r>
          </w:p>
        </w:tc>
        <w:tc>
          <w:tcPr>
            <w:tcW w:type="dxa" w:w="1450"/>
            <w:shd w:fill="F4F8FB" w:val="clear"/>
            <w:tcMar>
              <w:top w:type="dxa" w:w="60"/>
              <w:left w:type="dxa" w:w="90"/>
              <w:bottom w:type="dxa" w:w="60"/>
              <w:right w:type="dxa" w:w="90"/>
            </w:tcMar>
          </w:tcPr>
          <w:p>
            <w:pPr>
              <w:spacing w:after="40"/>
            </w:pPr>
            <w:r>
              <w:rPr>
                <w:sz w:val="13"/>
                <w:szCs w:val="13"/>
              </w:rPr>
              <w:t xml:space="preserve">monday launched “monday magic” (describe a workflow in a prompt, get a ready-to-use solution with no setup), refreshed the WorkCanvas homepage (July 8), and — notably — shifts monday Sidekick to consumption-based credit pricing starting July 27. It continues the horizontal “AI Work Platform” consolidation pitch and signals the broader move toward usage-based AI pricing.</w:t>
            </w:r>
          </w:p>
        </w:tc>
        <w:tc>
          <w:tcPr>
            <w:tcW w:type="dxa" w:w="640"/>
            <w:shd w:fill="F4F8FB" w:val="clear"/>
            <w:tcMar>
              <w:top w:type="dxa" w:w="60"/>
              <w:left w:type="dxa" w:w="90"/>
              <w:bottom w:type="dxa" w:w="60"/>
              <w:right w:type="dxa" w:w="90"/>
            </w:tcMar>
          </w:tcPr>
          <w:p>
            <w:pPr>
              <w:jc w:val="center"/>
            </w:pPr>
            <w:r>
              <w:rPr>
                <w:color w:val="B7770D"/>
                <w:sz w:val="15"/>
                <w:szCs w:val="15"/>
              </w:rPr>
              <w:t xml:space="preserve">★★★★☆</w:t>
            </w:r>
          </w:p>
          <w:p>
            <w:pPr>
              <w:jc w:val="center"/>
            </w:pPr>
            <w:r>
              <w:rPr>
                <w:b/>
                <w:bCs/>
                <w:sz w:val="13"/>
                <w:szCs w:val="13"/>
              </w:rPr>
              <w:t xml:space="preserve">4/5</w:t>
            </w:r>
          </w:p>
        </w:tc>
        <w:tc>
          <w:tcPr>
            <w:tcW w:type="dxa" w:w="1650"/>
            <w:shd w:fill="F4F8FB" w:val="clear"/>
            <w:tcMar>
              <w:top w:type="dxa" w:w="60"/>
              <w:left w:type="dxa" w:w="90"/>
              <w:bottom w:type="dxa" w:w="60"/>
              <w:right w:type="dxa" w:w="90"/>
            </w:tcMar>
          </w:tcPr>
          <w:p>
            <w:pPr>
              <w:spacing w:after="40"/>
            </w:pPr>
            <w:r>
              <w:rPr>
                <w:sz w:val="13"/>
                <w:szCs w:val="13"/>
              </w:rPr>
              <w:t xml:space="preserve">“AI product management,” “product management software” — present; horizontal AI creeping toward PM workflows.</w:t>
            </w:r>
          </w:p>
        </w:tc>
        <w:tc>
          <w:tcPr>
            <w:tcW w:type="dxa" w:w="1500"/>
            <w:shd w:fill="F4F8FB" w:val="clear"/>
            <w:tcMar>
              <w:top w:type="dxa" w:w="60"/>
              <w:left w:type="dxa" w:w="90"/>
              <w:bottom w:type="dxa" w:w="60"/>
              <w:right w:type="dxa" w:w="90"/>
            </w:tcMar>
          </w:tcPr>
          <w:p>
            <w:pPr>
              <w:spacing w:after="40"/>
            </w:pPr>
            <w:r>
              <w:rPr>
                <w:sz w:val="13"/>
                <w:szCs w:val="13"/>
              </w:rPr>
              <w:t xml:space="preserve">Horizontal work-OS consolidation pressure on ProductPlan’s ICP; the credit-pricing shift is an emerging packaging signal.</w:t>
            </w:r>
          </w:p>
        </w:tc>
        <w:tc>
          <w:tcPr>
            <w:tcW w:type="dxa" w:w="1560"/>
            <w:shd w:fill="F4F8FB" w:val="clear"/>
            <w:tcMar>
              <w:top w:type="dxa" w:w="60"/>
              <w:left w:type="dxa" w:w="90"/>
              <w:bottom w:type="dxa" w:w="60"/>
              <w:right w:type="dxa" w:w="90"/>
            </w:tcMar>
          </w:tcPr>
          <w:p>
            <w:pPr>
              <w:spacing w:after="40"/>
            </w:pPr>
            <w:r>
              <w:rPr>
                <w:sz w:val="13"/>
                <w:szCs w:val="13"/>
              </w:rPr>
              <w:t xml:space="preserve">monday produces generic outputs; Winware routes call/CRM signal into product decisions (themes tied to features, segments, revenue). Purpose-built intelligence vs. a horizontal work OS.</w:t>
            </w:r>
          </w:p>
        </w:tc>
        <w:tc>
          <w:tcPr>
            <w:tcW w:type="dxa" w:w="1410"/>
            <w:shd w:fill="F4F8FB" w:val="clear"/>
            <w:tcMar>
              <w:top w:type="dxa" w:w="60"/>
              <w:left w:type="dxa" w:w="90"/>
              <w:bottom w:type="dxa" w:w="60"/>
              <w:right w:type="dxa" w:w="90"/>
            </w:tcMar>
          </w:tcPr>
          <w:p>
            <w:pPr>
              <w:spacing w:after="40"/>
            </w:pPr>
            <w:r>
              <w:rPr>
                <w:sz w:val="13"/>
                <w:szCs w:val="13"/>
              </w:rPr>
              <w:t xml:space="preserve">Reinforce depth-over-breadth messaging; sales objection-handling vs. “consolidate on monday”; blog on why generic work AI lacks product context.</w:t>
            </w:r>
          </w:p>
        </w:tc>
      </w:tr>
      <w:tr>
        <w:tc>
          <w:tcPr>
            <w:tcW w:type="dxa" w:w="1150"/>
            <w:shd w:fill="FFFFFF" w:val="clear"/>
            <w:tcMar>
              <w:top w:type="dxa" w:w="60"/>
              <w:left w:type="dxa" w:w="90"/>
              <w:bottom w:type="dxa" w:w="60"/>
              <w:right w:type="dxa" w:w="90"/>
            </w:tcMar>
          </w:tcPr>
          <w:p>
            <w:pPr>
              <w:spacing w:after="30"/>
            </w:pPr>
            <w:hyperlink w:history="1" r:id="rIdqqkqoo_raqssilxvngv1o">
              <w:r>
                <w:rPr>
                  <w:rStyle w:val="Hyperlink"/>
                  <w:b/>
                  <w:bCs/>
                  <w:sz w:val="14"/>
                  <w:szCs w:val="14"/>
                </w:rPr>
                <w:t xml:space="preserve">The AI Product Management Workflows Every PM Needs in 2026</w:t>
              </w:r>
            </w:hyperlink>
          </w:p>
          <w:p>
            <w:pPr>
              <w:spacing w:after="40"/>
            </w:pPr>
            <w:r>
              <w:rPr>
                <w:color w:val="666666"/>
                <w:sz w:val="12"/>
                <w:szCs w:val="12"/>
              </w:rPr>
              <w:t xml:space="preserve">Productside</w:t>
            </w:r>
          </w:p>
          <w:p>
            <w:pPr>
              <w:spacing w:after="40"/>
            </w:pPr>
            <w:r>
              <w:rPr>
                <w:color w:val="666666"/>
                <w:sz w:val="12"/>
                <w:szCs w:val="12"/>
              </w:rPr>
              <w:t xml:space="preserve">2026 (updated)</w:t>
            </w:r>
          </w:p>
        </w:tc>
        <w:tc>
          <w:tcPr>
            <w:tcW w:type="dxa" w:w="1450"/>
            <w:shd w:fill="FFFFFF" w:val="clear"/>
            <w:tcMar>
              <w:top w:type="dxa" w:w="60"/>
              <w:left w:type="dxa" w:w="90"/>
              <w:bottom w:type="dxa" w:w="60"/>
              <w:right w:type="dxa" w:w="90"/>
            </w:tcMar>
          </w:tcPr>
          <w:p>
            <w:pPr>
              <w:spacing w:after="40"/>
            </w:pPr>
            <w:r>
              <w:rPr>
                <w:sz w:val="13"/>
                <w:szCs w:val="13"/>
              </w:rPr>
              <w:t xml:space="preserve">Productside argues AI workflows are the new PM differentiator and frames “product sense” and “product taste” as the durable human skills. It positions AI in discovery as analyzing feedback, behavior and market signals to break the “product management bottleneck,” and covers agentic tools for research, synthesis and reporting. Discovery — not build — is the constraint.</w:t>
            </w:r>
          </w:p>
        </w:tc>
        <w:tc>
          <w:tcPr>
            <w:tcW w:type="dxa" w:w="640"/>
            <w:shd w:fill="FFFFFF" w:val="clear"/>
            <w:tcMar>
              <w:top w:type="dxa" w:w="60"/>
              <w:left w:type="dxa" w:w="90"/>
              <w:bottom w:type="dxa" w:w="60"/>
              <w:right w:type="dxa" w:w="90"/>
            </w:tcMar>
          </w:tcPr>
          <w:p>
            <w:pPr>
              <w:jc w:val="center"/>
            </w:pPr>
            <w:r>
              <w:rPr>
                <w:color w:val="B7770D"/>
                <w:sz w:val="15"/>
                <w:szCs w:val="15"/>
              </w:rPr>
              <w:t xml:space="preserve">★★★★☆</w:t>
            </w:r>
          </w:p>
          <w:p>
            <w:pPr>
              <w:jc w:val="center"/>
            </w:pPr>
            <w:r>
              <w:rPr>
                <w:b/>
                <w:bCs/>
                <w:sz w:val="13"/>
                <w:szCs w:val="13"/>
              </w:rPr>
              <w:t xml:space="preserve">4/5</w:t>
            </w:r>
          </w:p>
        </w:tc>
        <w:tc>
          <w:tcPr>
            <w:tcW w:type="dxa" w:w="1650"/>
            <w:shd w:fill="FFFFFF" w:val="clear"/>
            <w:tcMar>
              <w:top w:type="dxa" w:w="60"/>
              <w:left w:type="dxa" w:w="90"/>
              <w:bottom w:type="dxa" w:w="60"/>
              <w:right w:type="dxa" w:w="90"/>
            </w:tcMar>
          </w:tcPr>
          <w:p>
            <w:pPr>
              <w:spacing w:after="40"/>
            </w:pPr>
            <w:r>
              <w:rPr>
                <w:sz w:val="13"/>
                <w:szCs w:val="13"/>
              </w:rPr>
              <w:t xml:space="preserve">“AI product management,” “product research,” “customer insights” — central to the piece.</w:t>
            </w:r>
          </w:p>
        </w:tc>
        <w:tc>
          <w:tcPr>
            <w:tcW w:type="dxa" w:w="1500"/>
            <w:shd w:fill="FFFFFF" w:val="clear"/>
            <w:tcMar>
              <w:top w:type="dxa" w:w="60"/>
              <w:left w:type="dxa" w:w="90"/>
              <w:bottom w:type="dxa" w:w="60"/>
              <w:right w:type="dxa" w:w="90"/>
            </w:tcMar>
          </w:tcPr>
          <w:p>
            <w:pPr>
              <w:spacing w:after="40"/>
            </w:pPr>
            <w:r>
              <w:rPr>
                <w:sz w:val="13"/>
                <w:szCs w:val="13"/>
              </w:rPr>
              <w:t xml:space="preserve">Frames discovery/synthesis as the differentiating capability — exactly ProductPlan’s lane; strong content-jacking surface.</w:t>
            </w:r>
          </w:p>
        </w:tc>
        <w:tc>
          <w:tcPr>
            <w:tcW w:type="dxa" w:w="1560"/>
            <w:shd w:fill="FFFFFF" w:val="clear"/>
            <w:tcMar>
              <w:top w:type="dxa" w:w="60"/>
              <w:left w:type="dxa" w:w="90"/>
              <w:bottom w:type="dxa" w:w="60"/>
              <w:right w:type="dxa" w:w="90"/>
            </w:tcMar>
          </w:tcPr>
          <w:p>
            <w:pPr>
              <w:spacing w:after="40"/>
            </w:pPr>
            <w:r>
              <w:rPr>
                <w:sz w:val="13"/>
                <w:szCs w:val="13"/>
              </w:rPr>
              <w:t xml:space="preserve">Winware operationalizes discovery/synthesis at scale — the capability the article says matters most.</w:t>
            </w:r>
          </w:p>
        </w:tc>
        <w:tc>
          <w:tcPr>
            <w:tcW w:type="dxa" w:w="1410"/>
            <w:shd w:fill="FFFFFF" w:val="clear"/>
            <w:tcMar>
              <w:top w:type="dxa" w:w="60"/>
              <w:left w:type="dxa" w:w="90"/>
              <w:bottom w:type="dxa" w:w="60"/>
              <w:right w:type="dxa" w:w="90"/>
            </w:tcMar>
          </w:tcPr>
          <w:p>
            <w:pPr>
              <w:spacing w:after="40"/>
            </w:pPr>
            <w:r>
              <w:rPr>
                <w:sz w:val="13"/>
                <w:szCs w:val="13"/>
              </w:rPr>
              <w:t xml:space="preserve">Agree-and-extend byline; LinkedIn post on discovery as the bottleneck; webinar tie-in.</w:t>
            </w:r>
          </w:p>
        </w:tc>
      </w:tr>
      <w:tr>
        <w:tc>
          <w:tcPr>
            <w:tcW w:type="dxa" w:w="1150"/>
            <w:shd w:fill="F4F8FB" w:val="clear"/>
            <w:tcMar>
              <w:top w:type="dxa" w:w="60"/>
              <w:left w:type="dxa" w:w="90"/>
              <w:bottom w:type="dxa" w:w="60"/>
              <w:right w:type="dxa" w:w="90"/>
            </w:tcMar>
          </w:tcPr>
          <w:p>
            <w:pPr>
              <w:spacing w:after="30"/>
            </w:pPr>
            <w:hyperlink w:history="1" r:id="rIdy3q5rqm5vttj4m8qvvvuq">
              <w:r>
                <w:rPr>
                  <w:rStyle w:val="Hyperlink"/>
                  <w:b/>
                  <w:bCs/>
                  <w:sz w:val="14"/>
                  <w:szCs w:val="14"/>
                </w:rPr>
                <w:t xml:space="preserve">2026 product management statistics: AI is a synthesis tool, decisions stay human</w:t>
              </w:r>
            </w:hyperlink>
          </w:p>
          <w:p>
            <w:pPr>
              <w:spacing w:after="40"/>
            </w:pPr>
            <w:r>
              <w:rPr>
                <w:color w:val="666666"/>
                <w:sz w:val="12"/>
                <w:szCs w:val="12"/>
              </w:rPr>
              <w:t xml:space="preserve">Product-Led Alliance</w:t>
            </w:r>
          </w:p>
          <w:p>
            <w:pPr>
              <w:spacing w:after="40"/>
            </w:pPr>
            <w:r>
              <w:rPr>
                <w:color w:val="666666"/>
                <w:sz w:val="12"/>
                <w:szCs w:val="12"/>
              </w:rPr>
              <w:t xml:space="preserve">2026</w:t>
            </w:r>
          </w:p>
        </w:tc>
        <w:tc>
          <w:tcPr>
            <w:tcW w:type="dxa" w:w="1450"/>
            <w:shd w:fill="F4F8FB" w:val="clear"/>
            <w:tcMar>
              <w:top w:type="dxa" w:w="60"/>
              <w:left w:type="dxa" w:w="90"/>
              <w:bottom w:type="dxa" w:w="60"/>
              <w:right w:type="dxa" w:w="90"/>
            </w:tcMar>
          </w:tcPr>
          <w:p>
            <w:pPr>
              <w:spacing w:after="40"/>
            </w:pPr>
            <w:r>
              <w:rPr>
                <w:sz w:val="13"/>
                <w:szCs w:val="13"/>
              </w:rPr>
              <w:t xml:space="preserve">PLA’s round-up finds AI is used primarily as a synthesis tool to help teams make sense of feedback faster, with far fewer teams using it to directly drive prioritization — decision-making remains human. It also documents tighter budgets, layoffs and a flood of AI tools reshaping discovery, specs and roadmaps. The data validates a human-in-the-loop, evidence-first positioning.</w:t>
            </w:r>
          </w:p>
        </w:tc>
        <w:tc>
          <w:tcPr>
            <w:tcW w:type="dxa" w:w="640"/>
            <w:shd w:fill="F4F8FB" w:val="clear"/>
            <w:tcMar>
              <w:top w:type="dxa" w:w="60"/>
              <w:left w:type="dxa" w:w="90"/>
              <w:bottom w:type="dxa" w:w="60"/>
              <w:right w:type="dxa" w:w="90"/>
            </w:tcMar>
          </w:tcPr>
          <w:p>
            <w:pPr>
              <w:jc w:val="center"/>
            </w:pPr>
            <w:r>
              <w:rPr>
                <w:color w:val="B7770D"/>
                <w:sz w:val="15"/>
                <w:szCs w:val="15"/>
              </w:rPr>
              <w:t xml:space="preserve">★★★★☆</w:t>
            </w:r>
          </w:p>
          <w:p>
            <w:pPr>
              <w:jc w:val="center"/>
            </w:pPr>
            <w:r>
              <w:rPr>
                <w:b/>
                <w:bCs/>
                <w:sz w:val="13"/>
                <w:szCs w:val="13"/>
              </w:rPr>
              <w:t xml:space="preserve">4/5</w:t>
            </w:r>
          </w:p>
        </w:tc>
        <w:tc>
          <w:tcPr>
            <w:tcW w:type="dxa" w:w="1650"/>
            <w:shd w:fill="F4F8FB" w:val="clear"/>
            <w:tcMar>
              <w:top w:type="dxa" w:w="60"/>
              <w:left w:type="dxa" w:w="90"/>
              <w:bottom w:type="dxa" w:w="60"/>
              <w:right w:type="dxa" w:w="90"/>
            </w:tcMar>
          </w:tcPr>
          <w:p>
            <w:pPr>
              <w:spacing w:after="40"/>
            </w:pPr>
            <w:r>
              <w:rPr>
                <w:sz w:val="13"/>
                <w:szCs w:val="13"/>
              </w:rPr>
              <w:t xml:space="preserve">“customer insights,” “product prioritization,” “AI product strategy” — central.</w:t>
            </w:r>
          </w:p>
        </w:tc>
        <w:tc>
          <w:tcPr>
            <w:tcW w:type="dxa" w:w="1500"/>
            <w:shd w:fill="F4F8FB" w:val="clear"/>
            <w:tcMar>
              <w:top w:type="dxa" w:w="60"/>
              <w:left w:type="dxa" w:w="90"/>
              <w:bottom w:type="dxa" w:w="60"/>
              <w:right w:type="dxa" w:w="90"/>
            </w:tcMar>
          </w:tcPr>
          <w:p>
            <w:pPr>
              <w:spacing w:after="40"/>
            </w:pPr>
            <w:r>
              <w:rPr>
                <w:sz w:val="13"/>
                <w:szCs w:val="13"/>
              </w:rPr>
              <w:t xml:space="preserve">Third-party proof that AI synthesizes while humans decide — validates ProductPlan’s exact stance.</w:t>
            </w:r>
          </w:p>
        </w:tc>
        <w:tc>
          <w:tcPr>
            <w:tcW w:type="dxa" w:w="1560"/>
            <w:shd w:fill="F4F8FB" w:val="clear"/>
            <w:tcMar>
              <w:top w:type="dxa" w:w="60"/>
              <w:left w:type="dxa" w:w="90"/>
              <w:bottom w:type="dxa" w:w="60"/>
              <w:right w:type="dxa" w:w="90"/>
            </w:tcMar>
          </w:tcPr>
          <w:p>
            <w:pPr>
              <w:spacing w:after="40"/>
            </w:pPr>
            <w:r>
              <w:rPr>
                <w:sz w:val="13"/>
                <w:szCs w:val="13"/>
              </w:rPr>
              <w:t xml:space="preserve">Traceability makes the synthesis trustworthy so humans can decide with confidence — the PLA data is a ready proof point.</w:t>
            </w:r>
          </w:p>
        </w:tc>
        <w:tc>
          <w:tcPr>
            <w:tcW w:type="dxa" w:w="1410"/>
            <w:shd w:fill="F4F8FB" w:val="clear"/>
            <w:tcMar>
              <w:top w:type="dxa" w:w="60"/>
              <w:left w:type="dxa" w:w="90"/>
              <w:bottom w:type="dxa" w:w="60"/>
              <w:right w:type="dxa" w:w="90"/>
            </w:tcMar>
          </w:tcPr>
          <w:p>
            <w:pPr>
              <w:spacing w:after="40"/>
            </w:pPr>
            <w:r>
              <w:rPr>
                <w:sz w:val="13"/>
                <w:szCs w:val="13"/>
              </w:rPr>
              <w:t xml:space="preserve">Stat-led LinkedIn post; supporting evidence for the “traceable synthesis” category page; sales one-liner.</w:t>
            </w:r>
          </w:p>
        </w:tc>
      </w:tr>
      <w:tr>
        <w:tc>
          <w:tcPr>
            <w:tcW w:type="dxa" w:w="1150"/>
            <w:shd w:fill="FFFFFF" w:val="clear"/>
            <w:tcMar>
              <w:top w:type="dxa" w:w="60"/>
              <w:left w:type="dxa" w:w="90"/>
              <w:bottom w:type="dxa" w:w="60"/>
              <w:right w:type="dxa" w:w="90"/>
            </w:tcMar>
          </w:tcPr>
          <w:p>
            <w:pPr>
              <w:spacing w:after="30"/>
            </w:pPr>
            <w:hyperlink w:history="1" r:id="rIdvehngh3ojvge8ggxuffjs">
              <w:r>
                <w:rPr>
                  <w:rStyle w:val="Hyperlink"/>
                  <w:b/>
                  <w:bCs/>
                  <w:sz w:val="14"/>
                  <w:szCs w:val="14"/>
                </w:rPr>
                <w:t xml:space="preserve">Great Products, Bad Companies</w:t>
              </w:r>
            </w:hyperlink>
          </w:p>
          <w:p>
            <w:pPr>
              <w:spacing w:after="40"/>
            </w:pPr>
            <w:r>
              <w:rPr>
                <w:color w:val="666666"/>
                <w:sz w:val="12"/>
                <w:szCs w:val="12"/>
              </w:rPr>
              <w:t xml:space="preserve">Silicon Valley Product Group (Marty Cagan)</w:t>
            </w:r>
          </w:p>
          <w:p>
            <w:pPr>
              <w:spacing w:after="40"/>
            </w:pPr>
            <w:r>
              <w:rPr>
                <w:color w:val="666666"/>
                <w:sz w:val="12"/>
                <w:szCs w:val="12"/>
              </w:rPr>
              <w:t xml:space="preserve">June 30, 2026</w:t>
            </w:r>
          </w:p>
        </w:tc>
        <w:tc>
          <w:tcPr>
            <w:tcW w:type="dxa" w:w="1450"/>
            <w:shd w:fill="FFFFFF" w:val="clear"/>
            <w:tcMar>
              <w:top w:type="dxa" w:w="60"/>
              <w:left w:type="dxa" w:w="90"/>
              <w:bottom w:type="dxa" w:w="60"/>
              <w:right w:type="dxa" w:w="90"/>
            </w:tcMar>
          </w:tcPr>
          <w:p>
            <w:pPr>
              <w:spacing w:after="40"/>
            </w:pPr>
            <w:r>
              <w:rPr>
                <w:sz w:val="13"/>
                <w:szCs w:val="13"/>
              </w:rPr>
              <w:t xml:space="preserve">Cagan argues great products are necessary but not sufficient for great companies, and that a great product can still lead a company to bad outcomes without the right operating model and decisions. It reinforces SVPG’s ongoing push toward the product operating model and evidence-based leadership. A credible voice to align with.</w:t>
            </w:r>
          </w:p>
        </w:tc>
        <w:tc>
          <w:tcPr>
            <w:tcW w:type="dxa" w:w="640"/>
            <w:shd w:fill="FFFFFF" w:val="clear"/>
            <w:tcMar>
              <w:top w:type="dxa" w:w="60"/>
              <w:left w:type="dxa" w:w="90"/>
              <w:bottom w:type="dxa" w:w="60"/>
              <w:right w:type="dxa" w:w="90"/>
            </w:tcMar>
          </w:tcPr>
          <w:p>
            <w:pPr>
              <w:jc w:val="center"/>
            </w:pPr>
            <w:r>
              <w:rPr>
                <w:color w:val="B7770D"/>
                <w:sz w:val="15"/>
                <w:szCs w:val="15"/>
              </w:rPr>
              <w:t xml:space="preserve">★★★☆☆</w:t>
            </w:r>
          </w:p>
          <w:p>
            <w:pPr>
              <w:jc w:val="center"/>
            </w:pPr>
            <w:r>
              <w:rPr>
                <w:b/>
                <w:bCs/>
                <w:sz w:val="13"/>
                <w:szCs w:val="13"/>
              </w:rPr>
              <w:t xml:space="preserve">3/5</w:t>
            </w:r>
          </w:p>
        </w:tc>
        <w:tc>
          <w:tcPr>
            <w:tcW w:type="dxa" w:w="1650"/>
            <w:shd w:fill="FFFFFF" w:val="clear"/>
            <w:tcMar>
              <w:top w:type="dxa" w:w="60"/>
              <w:left w:type="dxa" w:w="90"/>
              <w:bottom w:type="dxa" w:w="60"/>
              <w:right w:type="dxa" w:w="90"/>
            </w:tcMar>
          </w:tcPr>
          <w:p>
            <w:pPr>
              <w:spacing w:after="40"/>
            </w:pPr>
            <w:r>
              <w:rPr>
                <w:sz w:val="13"/>
                <w:szCs w:val="13"/>
              </w:rPr>
              <w:t xml:space="preserve">“product led development,” “product strategy” — thematic.</w:t>
            </w:r>
          </w:p>
        </w:tc>
        <w:tc>
          <w:tcPr>
            <w:tcW w:type="dxa" w:w="1500"/>
            <w:shd w:fill="FFFFFF" w:val="clear"/>
            <w:tcMar>
              <w:top w:type="dxa" w:w="60"/>
              <w:left w:type="dxa" w:w="90"/>
              <w:bottom w:type="dxa" w:w="60"/>
              <w:right w:type="dxa" w:w="90"/>
            </w:tcMar>
          </w:tcPr>
          <w:p>
            <w:pPr>
              <w:spacing w:after="40"/>
            </w:pPr>
            <w:r>
              <w:rPr>
                <w:sz w:val="13"/>
                <w:szCs w:val="13"/>
              </w:rPr>
              <w:t xml:space="preserve">Most respected voice in product reinforcing “decisions, not just features” — credibility to borrow.</w:t>
            </w:r>
          </w:p>
        </w:tc>
        <w:tc>
          <w:tcPr>
            <w:tcW w:type="dxa" w:w="1560"/>
            <w:shd w:fill="FFFFFF" w:val="clear"/>
            <w:tcMar>
              <w:top w:type="dxa" w:w="60"/>
              <w:left w:type="dxa" w:w="90"/>
              <w:bottom w:type="dxa" w:w="60"/>
              <w:right w:type="dxa" w:w="90"/>
            </w:tcMar>
          </w:tcPr>
          <w:p>
            <w:pPr>
              <w:spacing w:after="40"/>
            </w:pPr>
            <w:r>
              <w:rPr>
                <w:sz w:val="13"/>
                <w:szCs w:val="13"/>
              </w:rPr>
              <w:t xml:space="preserve">Evidence-backed choices are the operating-model upgrade Cagan describes — what Product Intelligence enables.</w:t>
            </w:r>
          </w:p>
        </w:tc>
        <w:tc>
          <w:tcPr>
            <w:tcW w:type="dxa" w:w="1410"/>
            <w:shd w:fill="FFFFFF" w:val="clear"/>
            <w:tcMar>
              <w:top w:type="dxa" w:w="60"/>
              <w:left w:type="dxa" w:w="90"/>
              <w:bottom w:type="dxa" w:w="60"/>
              <w:right w:type="dxa" w:w="90"/>
            </w:tcMar>
          </w:tcPr>
          <w:p>
            <w:pPr>
              <w:spacing w:after="40"/>
            </w:pPr>
            <w:r>
              <w:rPr>
                <w:sz w:val="13"/>
                <w:szCs w:val="13"/>
              </w:rPr>
              <w:t xml:space="preserve">Thought-leadership commentary; agree-and-extend LinkedIn post; let SVPG credibility transfer.</w:t>
            </w:r>
          </w:p>
        </w:tc>
      </w:tr>
      <w:tr>
        <w:tc>
          <w:tcPr>
            <w:tcW w:type="dxa" w:w="1150"/>
            <w:shd w:fill="F4F8FB" w:val="clear"/>
            <w:tcMar>
              <w:top w:type="dxa" w:w="60"/>
              <w:left w:type="dxa" w:w="90"/>
              <w:bottom w:type="dxa" w:w="60"/>
              <w:right w:type="dxa" w:w="90"/>
            </w:tcMar>
          </w:tcPr>
          <w:p>
            <w:pPr>
              <w:spacing w:after="30"/>
            </w:pPr>
            <w:hyperlink w:history="1" r:id="rIdu08sxbfyfxllsdnnea3gt">
              <w:r>
                <w:rPr>
                  <w:rStyle w:val="Hyperlink"/>
                  <w:b/>
                  <w:bCs/>
                  <w:sz w:val="14"/>
                  <w:szCs w:val="14"/>
                </w:rPr>
                <w:t xml:space="preserve">Usage intelligence and the end of per-seat pricing in the AI era</w:t>
              </w:r>
            </w:hyperlink>
          </w:p>
          <w:p>
            <w:pPr>
              <w:spacing w:after="40"/>
            </w:pPr>
            <w:r>
              <w:rPr>
                <w:color w:val="666666"/>
                <w:sz w:val="12"/>
                <w:szCs w:val="12"/>
              </w:rPr>
              <w:t xml:space="preserve">Product Coalition</w:t>
            </w:r>
          </w:p>
          <w:p>
            <w:pPr>
              <w:spacing w:after="40"/>
            </w:pPr>
            <w:r>
              <w:rPr>
                <w:color w:val="666666"/>
                <w:sz w:val="12"/>
                <w:szCs w:val="12"/>
              </w:rPr>
              <w:t xml:space="preserve">Late June / early July 2026</w:t>
            </w:r>
          </w:p>
        </w:tc>
        <w:tc>
          <w:tcPr>
            <w:tcW w:type="dxa" w:w="1450"/>
            <w:shd w:fill="F4F8FB" w:val="clear"/>
            <w:tcMar>
              <w:top w:type="dxa" w:w="60"/>
              <w:left w:type="dxa" w:w="90"/>
              <w:bottom w:type="dxa" w:w="60"/>
              <w:right w:type="dxa" w:w="90"/>
            </w:tcMar>
          </w:tcPr>
          <w:p>
            <w:pPr>
              <w:spacing w:after="40"/>
            </w:pPr>
            <w:r>
              <w:rPr>
                <w:sz w:val="13"/>
                <w:szCs w:val="13"/>
              </w:rPr>
              <w:t xml:space="preserve">Product Coalition explores “usage intelligence” — instrumenting products to understand real consumption — and argues AI agents are about to blow up the per-seat subscription model, forcing a rethink of pricing and packaging. It mirrors monday’s move to credit-based AI pricing this week. An emerging signal on how AI reshapes SaaS business models.</w:t>
            </w:r>
          </w:p>
        </w:tc>
        <w:tc>
          <w:tcPr>
            <w:tcW w:type="dxa" w:w="640"/>
            <w:shd w:fill="F4F8FB" w:val="clear"/>
            <w:tcMar>
              <w:top w:type="dxa" w:w="60"/>
              <w:left w:type="dxa" w:w="90"/>
              <w:bottom w:type="dxa" w:w="60"/>
              <w:right w:type="dxa" w:w="90"/>
            </w:tcMar>
          </w:tcPr>
          <w:p>
            <w:pPr>
              <w:jc w:val="center"/>
            </w:pPr>
            <w:r>
              <w:rPr>
                <w:color w:val="B7770D"/>
                <w:sz w:val="15"/>
                <w:szCs w:val="15"/>
              </w:rPr>
              <w:t xml:space="preserve">★★★☆☆</w:t>
            </w:r>
          </w:p>
          <w:p>
            <w:pPr>
              <w:jc w:val="center"/>
            </w:pPr>
            <w:r>
              <w:rPr>
                <w:b/>
                <w:bCs/>
                <w:sz w:val="13"/>
                <w:szCs w:val="13"/>
              </w:rPr>
              <w:t xml:space="preserve">3/5</w:t>
            </w:r>
          </w:p>
        </w:tc>
        <w:tc>
          <w:tcPr>
            <w:tcW w:type="dxa" w:w="1650"/>
            <w:shd w:fill="F4F8FB" w:val="clear"/>
            <w:tcMar>
              <w:top w:type="dxa" w:w="60"/>
              <w:left w:type="dxa" w:w="90"/>
              <w:bottom w:type="dxa" w:w="60"/>
              <w:right w:type="dxa" w:w="90"/>
            </w:tcMar>
          </w:tcPr>
          <w:p>
            <w:pPr>
              <w:spacing w:after="40"/>
            </w:pPr>
            <w:r>
              <w:rPr>
                <w:sz w:val="13"/>
                <w:szCs w:val="13"/>
              </w:rPr>
              <w:t xml:space="preserve">“product intelligence,” “AI product strategy” — present; emerging-signal, not yet a confirmed trend.</w:t>
            </w:r>
          </w:p>
        </w:tc>
        <w:tc>
          <w:tcPr>
            <w:tcW w:type="dxa" w:w="1500"/>
            <w:shd w:fill="F4F8FB" w:val="clear"/>
            <w:tcMar>
              <w:top w:type="dxa" w:w="60"/>
              <w:left w:type="dxa" w:w="90"/>
              <w:bottom w:type="dxa" w:w="60"/>
              <w:right w:type="dxa" w:w="90"/>
            </w:tcMar>
          </w:tcPr>
          <w:p>
            <w:pPr>
              <w:spacing w:after="40"/>
            </w:pPr>
            <w:r>
              <w:rPr>
                <w:sz w:val="13"/>
                <w:szCs w:val="13"/>
              </w:rPr>
              <w:t xml:space="preserve">Emerging signal on AI reshaping SaaS pricing/packaging — exec-awareness item that connects to monday’s credit shift.</w:t>
            </w:r>
          </w:p>
        </w:tc>
        <w:tc>
          <w:tcPr>
            <w:tcW w:type="dxa" w:w="1560"/>
            <w:shd w:fill="F4F8FB" w:val="clear"/>
            <w:tcMar>
              <w:top w:type="dxa" w:w="60"/>
              <w:left w:type="dxa" w:w="90"/>
              <w:bottom w:type="dxa" w:w="60"/>
              <w:right w:type="dxa" w:w="90"/>
            </w:tcMar>
          </w:tcPr>
          <w:p>
            <w:pPr>
              <w:spacing w:after="40"/>
            </w:pPr>
            <w:r>
              <w:rPr>
                <w:sz w:val="13"/>
                <w:szCs w:val="13"/>
              </w:rPr>
              <w:t xml:space="preserve">Usage/consumption signal is another input a Product Intelligence Platform can synthesize into roadmap decisions.</w:t>
            </w:r>
          </w:p>
        </w:tc>
        <w:tc>
          <w:tcPr>
            <w:tcW w:type="dxa" w:w="1410"/>
            <w:shd w:fill="F4F8FB" w:val="clear"/>
            <w:tcMar>
              <w:top w:type="dxa" w:w="60"/>
              <w:left w:type="dxa" w:w="90"/>
              <w:bottom w:type="dxa" w:w="60"/>
              <w:right w:type="dxa" w:w="90"/>
            </w:tcMar>
          </w:tcPr>
          <w:p>
            <w:pPr>
              <w:spacing w:after="40"/>
            </w:pPr>
            <w:r>
              <w:rPr>
                <w:sz w:val="13"/>
                <w:szCs w:val="13"/>
              </w:rPr>
              <w:t xml:space="preserve">Trend-watch note for exec awareness; a forward-looking POV post; pricing-strategy webinar seed.</w:t>
            </w:r>
          </w:p>
        </w:tc>
      </w:tr>
    </w:tbl>
    <w:p>
      <w:pPr>
        <w:pStyle w:val="Heading2"/>
        <w:spacing w:before="240"/>
      </w:pPr>
      <w:r>
        <w:t xml:space="preserve">Recommended Next Actions</w:t>
      </w:r>
    </w:p>
    <w:p>
      <w:pPr>
        <w:pStyle w:val="ListParagraph"/>
        <w:numPr>
          <w:ilvl w:val="0"/>
          <w:numId w:val="3"/>
        </w:numPr>
        <w:spacing w:after="70"/>
      </w:pPr>
      <w:r>
        <w:rPr>
          <w:b/>
          <w:bCs/>
          <w:sz w:val="16"/>
          <w:szCs w:val="16"/>
        </w:rPr>
        <w:t xml:space="preserve">Ship the “evidence gap” campaign now.</w:t>
      </w:r>
      <w:r>
        <w:rPr>
          <w:sz w:val="16"/>
          <w:szCs w:val="16"/>
        </w:rPr>
        <w:t xml:space="preserve"> Pair Atlassian’s State of Product 2026 with PLA’s “AI synthesizes, humans decide” data into one carousel + gated asset for Director+ PMs. Highest-leverage demand play available.</w:t>
      </w:r>
    </w:p>
    <w:p>
      <w:pPr>
        <w:pStyle w:val="ListParagraph"/>
        <w:numPr>
          <w:ilvl w:val="0"/>
          <w:numId w:val="3"/>
        </w:numPr>
        <w:spacing w:after="70"/>
      </w:pPr>
      <w:r>
        <w:rPr>
          <w:b/>
          <w:bCs/>
          <w:sz w:val="16"/>
          <w:szCs w:val="16"/>
        </w:rPr>
        <w:t xml:space="preserve">Refresh the Tier-1 battlecards.</w:t>
      </w:r>
      <w:r>
        <w:rPr>
          <w:sz w:val="16"/>
          <w:szCs w:val="16"/>
        </w:rPr>
        <w:t xml:space="preserve"> Update Atlassian (Product Collection + Rovo MCP GA), Productboard (Collaborative Docs + Spark post-launch eval), and monday (monday magic + credit pricing). Lead objection-handling with signal breadth and traceability.</w:t>
      </w:r>
    </w:p>
    <w:p>
      <w:pPr>
        <w:pStyle w:val="ListParagraph"/>
        <w:numPr>
          <w:ilvl w:val="0"/>
          <w:numId w:val="3"/>
        </w:numPr>
        <w:spacing w:after="70"/>
      </w:pPr>
      <w:r>
        <w:rPr>
          <w:b/>
          <w:bCs/>
          <w:sz w:val="16"/>
          <w:szCs w:val="16"/>
        </w:rPr>
        <w:t xml:space="preserve">Publish a CEO POV on “Atlassian is now in the intelligence business.”</w:t>
      </w:r>
      <w:r>
        <w:rPr>
          <w:sz w:val="16"/>
          <w:szCs w:val="16"/>
        </w:rPr>
        <w:t xml:space="preserve"> Steven Cohn LinkedIn/byline: welcome the validation, then draw the line — delivery data vs. external customer evidence, and whether you can trace a recommendation to the customer who said it.</w:t>
      </w:r>
    </w:p>
    <w:p>
      <w:pPr>
        <w:pStyle w:val="ListParagraph"/>
        <w:numPr>
          <w:ilvl w:val="0"/>
          <w:numId w:val="3"/>
        </w:numPr>
        <w:spacing w:after="70"/>
      </w:pPr>
      <w:r>
        <w:rPr>
          <w:b/>
          <w:bCs/>
          <w:sz w:val="16"/>
          <w:szCs w:val="16"/>
        </w:rPr>
        <w:t xml:space="preserve">Pitch an agree-and-extend byline on the discovery bottleneck.</w:t>
      </w:r>
      <w:r>
        <w:rPr>
          <w:sz w:val="16"/>
          <w:szCs w:val="16"/>
        </w:rPr>
        <w:t xml:space="preserve"> Ride Productside’s AI-workflows piece and SVPG’s “Great Products, Bad Companies”: when build is cheap, knowing what’s worth building is the edge — the capability Winware operationalizes.</w:t>
      </w:r>
    </w:p>
    <w:p>
      <w:pPr>
        <w:pStyle w:val="ListParagraph"/>
        <w:numPr>
          <w:ilvl w:val="0"/>
          <w:numId w:val="3"/>
        </w:numPr>
        <w:spacing w:after="70"/>
      </w:pPr>
      <w:r>
        <w:rPr>
          <w:b/>
          <w:bCs/>
          <w:sz w:val="16"/>
          <w:szCs w:val="16"/>
        </w:rPr>
        <w:t xml:space="preserve">Keep monitoring</w:t>
      </w:r>
      <w:r>
        <w:rPr>
          <w:sz w:val="16"/>
          <w:szCs w:val="16"/>
        </w:rPr>
        <w:t xml:space="preserve"> Productboard’s post-GA Spark roadmap and API v1 sunset (July 8), Atlassian JPD Enterprise GA, monday’s consumption-pricing rollout, and the keywords “product intelligence platform” / “customer intelligence AI.”</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Generated July 6, 2026  ·  Page </w:t>
    </w:r>
    <w:r>
      <w:rPr>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4"/>
        <w:szCs w:val="14"/>
      </w:rPr>
      <w:t xml:space="preserve">ProductPlan · Weekly Market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280"/>
      </w:pPr>
    </w:lvl>
  </w:abstractNum>
  <w:abstractNum w:abstractNumId="3"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B57"/>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ews4qmnx_jtwsmyusicd" Type="http://schemas.openxmlformats.org/officeDocument/2006/relationships/hyperlink" Target="https://www.atlassian.com/blog/company-news/introducing-product-collection" TargetMode="External"/><Relationship Id="rIdba_w32ei6xowvmv62z_u9" Type="http://schemas.openxmlformats.org/officeDocument/2006/relationships/hyperlink" Target="https://support.productboard.com/hc/en-us/articles/360060759874-Productboard-Release-Notes" TargetMode="External"/><Relationship Id="rIdvkuet4htyltknb3f6089i" Type="http://schemas.openxmlformats.org/officeDocument/2006/relationships/hyperlink" Target="https://www.atlassian.com/software/jira/product-discovery/resources/state-of-product-2026" TargetMode="External"/><Relationship Id="rIdtoe0jcgvexl1s-6-rpgy1" Type="http://schemas.openxmlformats.org/officeDocument/2006/relationships/hyperlink" Target="https://monday.com/whats-new" TargetMode="External"/><Relationship Id="rIdqqkqoo_raqssilxvngv1o" Type="http://schemas.openxmlformats.org/officeDocument/2006/relationships/hyperlink" Target="https://productside.com/the-ai-product-management-workflows-2026/" TargetMode="External"/><Relationship Id="rIdy3q5rqm5vttj4m8qvvvuq" Type="http://schemas.openxmlformats.org/officeDocument/2006/relationships/hyperlink" Target="https://www.productledalliance.com/product-management-statistics/" TargetMode="External"/><Relationship Id="rIdvehngh3ojvge8ggxuffjs" Type="http://schemas.openxmlformats.org/officeDocument/2006/relationships/hyperlink" Target="https://www.svpg.com/great-products-bad-companies/" TargetMode="External"/><Relationship Id="rIdu08sxbfyfxllsdnnea3gt" Type="http://schemas.openxmlformats.org/officeDocument/2006/relationships/hyperlink" Target="https://www.productcoalition.co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2026-07-06T10:10:34.715Z</dcterms:created>
  <dcterms:modified xsi:type="dcterms:W3CDTF">2026-07-06T10:10:34.716Z</dcterms:modified>
</cp:coreProperties>
</file>

<file path=docProps/custom.xml><?xml version="1.0" encoding="utf-8"?>
<Properties xmlns="http://schemas.openxmlformats.org/officeDocument/2006/custom-properties" xmlns:vt="http://schemas.openxmlformats.org/officeDocument/2006/docPropsVTypes"/>
</file>