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7124A"/>
          <w:sz w:val="34"/>
          <w:szCs w:val="34"/>
        </w:rPr>
        <w:t xml:space="preserve">ProductPlan — Weekly Market Intelligence</w:t>
      </w:r>
    </w:p>
    <w:p>
      <w:pPr>
        <w:spacing w:after="40"/>
      </w:pPr>
      <w:r>
        <w:rPr>
          <w:color w:val="555555"/>
          <w:sz w:val="19"/>
          <w:szCs w:val="19"/>
        </w:rPr>
        <w:t xml:space="preserve">Product Intelligence Platform · Coverage: July 27 – August 3, 2026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Generated August 3, 2026 · Next run: August 10, 2026</w:t>
      </w:r>
    </w:p>
    <w:p>
      <w:pPr>
        <w:pStyle w:val="Heading1"/>
        <w:spacing w:after="110" w:before="220"/>
      </w:pPr>
      <w:r>
        <w:rPr>
          <w:b/>
          <w:bCs/>
          <w:color w:val="B7124A"/>
        </w:rPr>
        <w:t xml:space="preserve">Executive Note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week the market shifted from </w:t>
      </w:r>
      <w:r>
        <w:rPr>
          <w:b w:val="false"/>
          <w:bCs w:val="false"/>
          <w:i/>
          <w:iCs/>
          <w:color w:val="1A1A2E"/>
          <w:sz w:val="20"/>
          <w:szCs w:val="20"/>
        </w:rPr>
        <w:t xml:space="preserve">validating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ProductPlan’s thesis to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crowding into its category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. Three findings matter most. (1)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Reforge expanded into AI Research &amp; Insights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— an ICP-trusted brand now selling AI insight synthesis adjacent to Winware, a signal the “AI insights” space is getting competitive. (2)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Perspective AI’s 300-team study found 71% of senior product leaders say their roadmap inputs are anecdotal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 — ProductPlan’s ICP pain quantified in one citable number, and the cleanest data anchor of the quarter for a CEO POV. (3) </w:t>
      </w:r>
      <w:r>
        <w:rPr>
          <w:b/>
          <w:bCs/>
          <w:i w:val="false"/>
          <w:iCs w:val="false"/>
          <w:color w:val="1A1A2E"/>
          <w:sz w:val="20"/>
          <w:szCs w:val="20"/>
        </w:rPr>
        <w:t xml:space="preserve">Productboard launched a Productboard &amp; Jira certification</w:t>
      </w:r>
      <w:r>
        <w:rPr>
          <w:b w:val="false"/>
          <w:bCs w:val="false"/>
          <w:i w:val="false"/>
          <w:iCs w:val="false"/>
          <w:color w:val="1A1A2E"/>
          <w:sz w:val="20"/>
          <w:szCs w:val="20"/>
        </w:rPr>
        <w:t xml:space="preserve">, the closest direct competitor doubling down on discovery-to-execution. The strategic move: shift from amplifying validation to owning differentiation — lead with source-traceable, product-decision intelligence, and publish the “71% anecdotal” POV while the number is fresh.</w:t>
      </w:r>
    </w:p>
    <w:p>
      <w:pPr>
        <w:pStyle w:val="Heading1"/>
        <w:spacing w:after="110" w:before="220"/>
      </w:pPr>
      <w:r>
        <w:rPr>
          <w:b/>
          <w:bCs/>
          <w:color w:val="B7124A"/>
        </w:rPr>
        <w:t xml:space="preserve">Research Table — 9 Articles, Sorted by Relevance</w:t>
      </w:r>
    </w:p>
    <w:p>
      <w:pPr>
        <w:spacing w:after="12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Scored 1–5 relative to ProductPlan’s ICP, “Product Intelligence Platform” positioning, Winware AI capability, and competitive set (Jira/Atlassian, monday.com, Productboard).</w:t>
      </w:r>
    </w:p>
    <w:tbl>
      <w:tblPr>
        <w:tblW w:type="dxa" w:w="14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50"/>
        <w:gridCol w:w="3150"/>
        <w:gridCol w:w="2150"/>
        <w:gridCol w:w="700"/>
        <w:gridCol w:w="2350"/>
        <w:gridCol w:w="2350"/>
      </w:tblGrid>
      <w:tr>
        <w:trPr>
          <w:tblHeader/>
        </w:trPr>
        <w:tc>
          <w:tcPr>
            <w:tcW w:type="dxa" w:w="260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 &amp; Source</w:t>
            </w:r>
          </w:p>
        </w:tc>
        <w:tc>
          <w:tcPr>
            <w:tcW w:type="dxa" w:w="95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15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Summary</w:t>
            </w:r>
          </w:p>
        </w:tc>
        <w:tc>
          <w:tcPr>
            <w:tcW w:type="dxa" w:w="215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Keywords &amp; Context</w:t>
            </w:r>
          </w:p>
        </w:tc>
        <w:tc>
          <w:tcPr>
            <w:tcW w:type="dxa" w:w="70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35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Ways to Engage</w:t>
            </w:r>
          </w:p>
        </w:tc>
        <w:tc>
          <w:tcPr>
            <w:tcW w:type="dxa" w:w="2350"/>
            <w:shd w:fill="B7124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ProductPlan Fit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2026 Product Discovery Trends: What 300 Teams Changed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Perspective AI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https://getperspective.ai/blog/2026-product-discovery-trends-what-300-teams-changed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 (300-team study)</w:t>
            </w:r>
          </w:p>
        </w:tc>
        <w:tc>
          <w:tcPr>
            <w:tcW w:type="dxa" w:w="3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Study of 300 teams finds discovery going continuous, AI-moderated and democratized. Standout stat: 71% of senior product leaders say “we have a roadmap framework but the inputs are anecdotal.” Teams using conversational AI run ~47 customer conversations per PM per quarter (~12x median), with synthesis the moment each transcript ends.</w:t>
            </w:r>
          </w:p>
        </w:tc>
        <w:tc>
          <w:tcPr>
            <w:tcW w:type="dxa" w:w="2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“customer insights product management,” product prioritization, product research — substantive/central. Buyer-behavior data.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
★★★★★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CEO LinkedIn + data POV this week; “from anecdote to evidence” blog/AEO; sales discovery question (“how much of your roadmap input is anecdotal?”).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71%-anecdotal is ProductPlan’s ICP pain (disjointed prioritization, not using data to decide) quantified. Winware synthesis of Gong + surveys + CRM is the direct fix.</w:t>
            </w:r>
          </w:p>
        </w:tc>
      </w:tr>
      <w:tr>
        <w:tc>
          <w:tcPr>
            <w:tcW w:type="dxa" w:w="26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Reforge Expands Into AI Tooling: Reforge AI, Research &amp; Insights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Reforge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https://www.reforge.com/courses</w:t>
            </w:r>
          </w:p>
        </w:tc>
        <w:tc>
          <w:tcPr>
            <w:tcW w:type="dxa" w:w="9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Reforge shifted beyond courses into AI-powered tools — Reforge AI, Reforge Research, Reforge Insights — covering AI prototyping, research and insight synthesis. A brand the ICP trusts is now selling into the AI-research-and-insights space adjacent to Winware.</w:t>
            </w:r>
          </w:p>
        </w:tc>
        <w:tc>
          <w:tcPr>
            <w:tcW w:type="dxa" w:w="2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“AI product management,” product intelligence, customer insights — central to the offering. Competitor/adjacent signal.</w:t>
            </w:r>
          </w:p>
        </w:tc>
        <w:tc>
          <w:tcPr>
            <w:tcW w:type="dxa" w:w="7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5
★★★★★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“Traceable AI” differentiation LinkedIn + blog; battlecard note; CEO generous amplify-and-reframe toward traceability.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The AI-insights category is crowding with credible players. ProductPlan’s durable edge is source-traceable, product-decision intelligence across Gong + surveys + CRM — the claim generic “AI insights” can’t make.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Productboard Launches Productboard &amp; Jira Certification + Integrations Upgrades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Productboard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https://support.productboard.com/hc/en-us/articles/360060759874-Productboard-Release-Notes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Productboard launched a Productboard &amp; Jira certification to align discovery with execution, plus integrations-page upgrades for easier connectors. Deepens its discovery-to-execution narrative while still absorbing April’s platform relaunch and post-restructuring changes.</w:t>
            </w:r>
          </w:p>
        </w:tc>
        <w:tc>
          <w:tcPr>
            <w:tcW w:type="dxa" w:w="2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 roadmapping software, product prioritization — competitor positioning move.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
★★★★☆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Refresh Productboard battlecard; sales talking point on signal breadth + tool-agnostic evidence layer; competitive nurture for Jira-heavy prospects.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Closest direct competitor doubling down on one execution path (Jira). Counter: Winware signal breadth (beyond in-app/portal), tool-agnostic positioning, and vendor durability (scored in regulated verticals).</w:t>
            </w:r>
          </w:p>
        </w:tc>
      </w:tr>
      <w:tr>
        <w:tc>
          <w:tcPr>
            <w:tcW w:type="dxa" w:w="26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How AI-Powered Discovery and Expert Feedback Are Driving My 2026 Roadmap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Product Talk (Teresa Torres)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https://www.producttalk.org/my-2026-roadmap/</w:t>
            </w:r>
          </w:p>
        </w:tc>
        <w:tc>
          <w:tcPr>
            <w:tcW w:type="dxa" w:w="9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Teresa Torres — the leading authority on continuous discovery — details how AI-powered discovery plus expert feedback shapes her 2026 roadmap. A public, practitioner-level endorsement of AI-assisted continuous discovery from a name the ICP trusts.</w:t>
            </w:r>
          </w:p>
        </w:tc>
        <w:tc>
          <w:tcPr>
            <w:tcW w:type="dxa" w:w="2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 research, continuous discovery, customer insights — central. Influencer on ProductPlan monitor list.</w:t>
            </w:r>
          </w:p>
        </w:tc>
        <w:tc>
          <w:tcPr>
            <w:tcW w:type="dxa" w:w="7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
★★★★☆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Amplify/comment on LinkedIn (credit Torres); webinar guest / co-marketing angle; blog on continuous discovery at team scale.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When the discovery-coaching authority operationalizes AI discovery in public, the practice is mainstream. ProductPlan operationalizes exactly this at team scale.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Product Management Trends: 11 Shifts Shaping 2026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Product School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https://productschool.com/blog/product-fundamentals/product-management-trends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Argues the core question shifted from “how to build” to “what to build — and for whom.” With AI letting anyone clone an experience in weeks, learning speed becomes the moat: how fast an org notices change, updates beliefs, and ships a different answer.</w:t>
            </w:r>
          </w:p>
        </w:tc>
        <w:tc>
          <w:tcPr>
            <w:tcW w:type="dxa" w:w="2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“AI product management,” product strategy — central trend piece from an ICP publication.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
★★★★☆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Quick-hit social (“how to build is solved; what to build is the job”); feed Q3 research report; blog on learning speed as the product moat.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“What to build” and “learning speed” are ProductPlan’s exact positioning. As execution commoditizes, the intelligence layer that surfaces change fast is the differentiator.</w:t>
            </w:r>
          </w:p>
        </w:tc>
      </w:tr>
      <w:tr>
        <w:tc>
          <w:tcPr>
            <w:tcW w:type="dxa" w:w="26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monday.com AI Work Platform Matures: Sidekick GA, Vibe Multiboard, MCP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monday.com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https://monday.com/whats-new</w:t>
            </w:r>
          </w:p>
        </w:tc>
        <w:tc>
          <w:tcPr>
            <w:tcW w:type="dxa" w:w="9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monday.com’s AI Work Platform is maturing — Sidekick out of beta, Vibe multiboard support, MCP opening monday to external AI agents. monday dev’s AI Blocks auto-sort feedback by theme/urgency with predictive feature-impact scoring. Consolidation pitch keeps sharpening.</w:t>
            </w:r>
          </w:p>
        </w:tc>
        <w:tc>
          <w:tcPr>
            <w:tcW w:type="dxa" w:w="2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 management software, AI product management — competitor consolidation move.</w:t>
            </w:r>
          </w:p>
        </w:tc>
        <w:tc>
          <w:tcPr>
            <w:tcW w:type="dxa" w:w="7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4
★★★★☆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Maintain monday.com battlecard; sales talking point (generalist work AI vs. customer-evidence context); depth-over-breadth nurture for at-risk mid-market accounts.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Direct competitor strengthening horizontal “one AI platform for all work” play at ProductPlan’s mid-market buyers. Counter: depth over breadth — a work OS automates tasks, can’t reason about product context or synthesize calls/surveys/CRM.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The 6 Best Continuous Product Discovery Tools in 2026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Enterpret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https://www.enterpret.com/guides/the-6-best-continuous-product-discovery-tools-in-2026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Frames continuous product discovery and AI feedback synthesis as a defined 2026 tool category and lists the vendors buyers should shortlist. Reflects how buyers now search for “continuous discovery” and “feedback-to-roadmap” tooling as a named category.</w:t>
            </w:r>
          </w:p>
        </w:tc>
        <w:tc>
          <w:tcPr>
            <w:tcW w:type="dxa" w:w="2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 intelligence platform, continuous discovery — category/SEO framing.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
★★★☆☆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AEO/comparison content to appear in category listicles; “continuous product intelligence” pillar page; monitor which vendors these guides name.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Listicles increasingly shape human shortlists and LLM answers. ProductPlan should appear in “continuous discovery / product intelligence” comparisons; the behavior Winware automates is what these guides describe.</w:t>
            </w:r>
          </w:p>
        </w:tc>
      </w:tr>
      <w:tr>
        <w:tc>
          <w:tcPr>
            <w:tcW w:type="dxa" w:w="26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“Product Intelligence” Buyer Listicles Keep Crowning Analytics Vendors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CPO Club / ISG Research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https://cpoclub.com/tools/best-product-intelligence-software/</w:t>
            </w:r>
          </w:p>
        </w:tc>
        <w:tc>
          <w:tcPr>
            <w:tcW w:type="dxa" w:w="9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</w:t>
            </w:r>
          </w:p>
        </w:tc>
        <w:tc>
          <w:tcPr>
            <w:tcW w:type="dxa" w:w="3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CPO Club’s “10 Best Product Intelligence Software” and ISG’s Product Intelligence Buyers Guide keep framing the term around behavioral-analytics vendors (Contentsquare, Pendo, Adobe, Amplitude). The “product intelligence platform” label is being claimed by the analytics camp.</w:t>
            </w:r>
          </w:p>
        </w:tc>
        <w:tc>
          <w:tcPr>
            <w:tcW w:type="dxa" w:w="21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“product intelligence platform” — category/SEO collision, central.</w:t>
            </w:r>
          </w:p>
        </w:tc>
        <w:tc>
          <w:tcPr>
            <w:tcW w:type="dxa" w:w="70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
★★★☆☆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“Decision intelligence vs. behavioral analytics” pillar page; messaging/SEO audit to avoid analytics competitive set; exec awareness of the naming collision.</w:t>
            </w:r>
          </w:p>
        </w:tc>
        <w:tc>
          <w:tcPr>
            <w:tcW w:type="dxa" w:w="2350"/>
            <w:shd w:fill="F4E9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ProductPlan rebranded onto a contested term. Must separate decision intelligence (what/why to build) from behavioral analytics (how users click) or risk being miscategorized against Pendo/Amplitude.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A1A2E"/>
                <w:sz w:val="16"/>
                <w:szCs w:val="16"/>
              </w:rPr>
              <w:t xml:space="preserve">The AI Productivity Paradox (Still Circulating)</w:t>
            </w:r>
          </w:p>
          <w:p>
            <w:r>
              <w:rPr>
                <w:i/>
                <w:iCs/>
                <w:color w:val="B7124A"/>
                <w:sz w:val="15"/>
                <w:szCs w:val="15"/>
              </w:rPr>
              <w:t xml:space="preserve">Silicon Valley Product Group</w:t>
            </w:r>
          </w:p>
          <w:p>
            <w:r>
              <w:rPr>
                <w:color w:val="555555"/>
                <w:sz w:val="13"/>
                <w:szCs w:val="13"/>
              </w:rPr>
              <w:t xml:space="preserve">https://www.svpg.com/the-ai-productivity-paradox/</w:t>
            </w:r>
          </w:p>
        </w:tc>
        <w:tc>
          <w:tcPr>
            <w:tcW w:type="dxa" w:w="9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2026 (carry-over)</w:t>
            </w:r>
          </w:p>
        </w:tc>
        <w:tc>
          <w:tcPr>
            <w:tcW w:type="dxa" w:w="3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SVPG’s essay — teams ship faster with AI while outcomes stay flat, citing Atlassian State of Teams (89% say AI sped work; 6% can prove ROI) — is still circulating. Remains the strongest independent articulation of the output-vs-outcome thesis.</w:t>
            </w:r>
          </w:p>
        </w:tc>
        <w:tc>
          <w:tcPr>
            <w:tcW w:type="dxa" w:w="21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AI product management, product operating model — thought leadership, still central to the conversation.</w:t>
            </w:r>
          </w:p>
        </w:tc>
        <w:tc>
          <w:tcPr>
            <w:tcW w:type="dxa" w:w="7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16"/>
                <w:szCs w:val="16"/>
              </w:rPr>
              <w:t xml:space="preserve">3
★★★☆☆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Anchor “From Output to Outcomes” webinar; supporting citation in the 71%-anecdotal POV; evergreen sales narrative.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Pairs with this week’s 71%-anecdotal data: faster delivery + anecdotal inputs = flat outcomes. Winware is the decision/outcome layer.</w:t>
            </w:r>
          </w:p>
        </w:tc>
      </w:tr>
    </w:tbl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B7124A"/>
        </w:rPr>
        <w:t xml:space="preserve">Recommended Next Actions</w:t>
      </w:r>
    </w:p>
    <w:p>
      <w:pPr>
        <w:spacing w:after="90"/>
      </w:pPr>
      <w:r>
        <w:rPr>
          <w:b/>
          <w:bCs/>
          <w:color w:val="B7124A"/>
          <w:sz w:val="20"/>
          <w:szCs w:val="20"/>
        </w:rPr>
        <w:t xml:space="preserve">1.  </w:t>
      </w:r>
      <w:r>
        <w:rPr>
          <w:sz w:val="20"/>
          <w:szCs w:val="20"/>
        </w:rPr>
        <w:t xml:space="preserve">Ship the “71% anecdotal” data POV this week (CEO LinkedIn + short blog), riding Perspective AI’s 300-team study. It is the highest-leverage reactive asset — it quantifies the ICP’s top pain and sets up the Winware evidence layer cleanly.</w:t>
      </w:r>
    </w:p>
    <w:p>
      <w:pPr>
        <w:spacing w:after="90"/>
      </w:pPr>
      <w:r>
        <w:rPr>
          <w:b/>
          <w:bCs/>
          <w:color w:val="B7124A"/>
          <w:sz w:val="20"/>
          <w:szCs w:val="20"/>
        </w:rPr>
        <w:t xml:space="preserve">2.  </w:t>
      </w:r>
      <w:r>
        <w:rPr>
          <w:sz w:val="20"/>
          <w:szCs w:val="20"/>
        </w:rPr>
        <w:t xml:space="preserve">Publish a “traceable AI / decision intelligence” differentiation piece as the AI-insights field crowds (Reforge’s move). Make source-citation an explicit buying criterion — the one claim generic “AI insights” cannot match.</w:t>
      </w:r>
    </w:p>
    <w:p>
      <w:pPr>
        <w:spacing w:after="90"/>
      </w:pPr>
      <w:r>
        <w:rPr>
          <w:b/>
          <w:bCs/>
          <w:color w:val="B7124A"/>
          <w:sz w:val="20"/>
          <w:szCs w:val="20"/>
        </w:rPr>
        <w:t xml:space="preserve">3.  </w:t>
      </w:r>
      <w:r>
        <w:rPr>
          <w:sz w:val="20"/>
          <w:szCs w:val="20"/>
        </w:rPr>
        <w:t xml:space="preserve">Refresh the Productboard battlecard around its new Productboard &amp; Jira certification — lead with signal breadth (Gong + surveys + CRM), vendor durability, and tool-agnostic positioning upstream of any execution tool.</w:t>
      </w:r>
    </w:p>
    <w:p>
      <w:pPr>
        <w:spacing w:after="90"/>
      </w:pPr>
      <w:r>
        <w:rPr>
          <w:b/>
          <w:bCs/>
          <w:color w:val="B7124A"/>
          <w:sz w:val="20"/>
          <w:szCs w:val="20"/>
        </w:rPr>
        <w:t xml:space="preserve">4.  </w:t>
      </w:r>
      <w:r>
        <w:rPr>
          <w:sz w:val="20"/>
          <w:szCs w:val="20"/>
        </w:rPr>
        <w:t xml:space="preserve">Ship the “continuous product intelligence” pillar/AEO page to claim category language before Enterpret, CPO Club and analytics vendors define “product intelligence” as behavioral analytics.</w:t>
      </w:r>
    </w:p>
    <w:p>
      <w:pPr>
        <w:spacing w:after="90"/>
      </w:pPr>
      <w:r>
        <w:rPr>
          <w:b/>
          <w:bCs/>
          <w:color w:val="B7124A"/>
          <w:sz w:val="20"/>
          <w:szCs w:val="20"/>
        </w:rPr>
        <w:t xml:space="preserve">5.  </w:t>
      </w:r>
      <w:r>
        <w:rPr>
          <w:sz w:val="20"/>
          <w:szCs w:val="20"/>
        </w:rPr>
        <w:t xml:space="preserve">Keep monitoring: Reforge’s AI-insights positioning, Productboard’s Jira-tightening cadence, monday.com’s AI-credit pricing rollout, and whether analysts adopt “decision intelligence” vs. “behavioral analytics” as distinct category language.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2026-08-03T14:14:29.581Z</dcterms:created>
  <dcterms:modified xsi:type="dcterms:W3CDTF">2026-08-03T14:14:29.581Z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