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t xml:space="preserve">Include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Pr="0034520B">
        <w:rPr>
          <w:rFonts w:eastAsia="Times New Roman" w:cs="Times New Roman"/>
          <w:sz w:val="24"/>
          <w:szCs w:val="24"/>
        </w:rPr>
        <w:t>, and redirection URL for once the user 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token, yet.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{url-to-be-redirected}?code={code}&amp;response_type=code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{url-to-be-redirected}?response_type=access_denied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>Code Snipet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r w:rsidRPr="00CD1CBF">
        <w:rPr>
          <w:rFonts w:eastAsia="Times New Roman" w:cs="Times New Roman"/>
          <w:color w:val="0070C0"/>
          <w:sz w:val="20"/>
          <w:szCs w:val="20"/>
        </w:rPr>
        <w:t>MimoRestClient.GetAccessCode();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AB2B2D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B2B2D">
        <w:rPr>
          <w:rFonts w:eastAsia="Times New Roman" w:cs="Courier New"/>
          <w:sz w:val="20"/>
          <w:szCs w:val="20"/>
        </w:rPr>
        <w:t>After get</w:t>
      </w:r>
      <w:r w:rsidR="0042385E">
        <w:rPr>
          <w:rFonts w:eastAsia="Times New Roman" w:cs="Courier New"/>
          <w:sz w:val="20"/>
          <w:szCs w:val="20"/>
        </w:rPr>
        <w:t>ting Access Code</w:t>
      </w:r>
      <w:r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 w:rsidRPr="00AB2B2D">
        <w:rPr>
          <w:rFonts w:eastAsia="Times New Roman" w:cs="Courier New"/>
          <w:sz w:val="20"/>
          <w:szCs w:val="20"/>
        </w:rPr>
        <w:t xml:space="preserve">also set </w:t>
      </w:r>
      <w:r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ssion["Mimo_Client_AccessCode"]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 (Request.QueryString["code"] != "" &amp;&amp; Request.QueryString["code"]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r w:rsidR="00AB2B2D" w:rsidRPr="0035740A">
        <w:rPr>
          <w:rFonts w:eastAsia="Times New Roman" w:cs="Courier New"/>
          <w:color w:val="0070C0"/>
          <w:sz w:val="20"/>
          <w:szCs w:val="20"/>
        </w:rPr>
        <w:t>Session["Mimo_Client_AccessCode"] = Convert.ToString(Request.QueryString["code"]);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'authorization_code'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"access_token": "abcdefg"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“expires_in”:”2099-12-31”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>Code Snipet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DF7839">
        <w:rPr>
          <w:rFonts w:eastAsia="Times New Roman" w:cs="Courier New"/>
          <w:color w:val="0070C0"/>
          <w:sz w:val="20"/>
          <w:szCs w:val="20"/>
        </w:rPr>
        <w:t xml:space="preserve">string AccessToken = </w:t>
      </w:r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Pr="005600A1">
        <w:rPr>
          <w:rFonts w:cs="Consolas"/>
          <w:b/>
          <w:sz w:val="24"/>
          <w:szCs w:val="24"/>
        </w:rPr>
        <w:t>GetUserProfile</w:t>
      </w:r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4)account_number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"account_number"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"account_type"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"company_name"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"first_name" =&gt; "fname",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"middle_name" =&gt; "mname",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"lname",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"photo_url"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Snipet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26CA">
        <w:rPr>
          <w:rFonts w:eastAsia="Times New Roman" w:cs="Courier New"/>
          <w:color w:val="0070C0"/>
          <w:sz w:val="20"/>
          <w:szCs w:val="20"/>
        </w:rPr>
        <w:t xml:space="preserve">string UserProfile = 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C835CB" w:rsidRPr="00C835CB">
        <w:rPr>
          <w:b/>
          <w:sz w:val="24"/>
          <w:szCs w:val="24"/>
        </w:rPr>
        <w:t>MoneyTransfer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"message"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Snipet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D04C8C">
        <w:rPr>
          <w:rFonts w:eastAsia="Times New Roman" w:cs="Courier New"/>
          <w:color w:val="0070C0"/>
          <w:sz w:val="20"/>
          <w:szCs w:val="20"/>
        </w:rPr>
        <w:t xml:space="preserve">string MoneyTransfer = 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Pr="00A51F8B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sectPr w:rsidR="00D04C8C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520B"/>
    <w:rsid w:val="000069AC"/>
    <w:rsid w:val="000973B9"/>
    <w:rsid w:val="000B7F8B"/>
    <w:rsid w:val="000C30AB"/>
    <w:rsid w:val="000F4A09"/>
    <w:rsid w:val="001D3B2F"/>
    <w:rsid w:val="001F1806"/>
    <w:rsid w:val="001F534B"/>
    <w:rsid w:val="00284ABA"/>
    <w:rsid w:val="002B5823"/>
    <w:rsid w:val="002D34CA"/>
    <w:rsid w:val="0034520B"/>
    <w:rsid w:val="0035740A"/>
    <w:rsid w:val="0039154B"/>
    <w:rsid w:val="003A6A25"/>
    <w:rsid w:val="0042385E"/>
    <w:rsid w:val="0043171A"/>
    <w:rsid w:val="0049190F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A1974"/>
    <w:rsid w:val="00732042"/>
    <w:rsid w:val="0077690A"/>
    <w:rsid w:val="0079141D"/>
    <w:rsid w:val="007E7334"/>
    <w:rsid w:val="008538E6"/>
    <w:rsid w:val="008C753F"/>
    <w:rsid w:val="00914981"/>
    <w:rsid w:val="009621A8"/>
    <w:rsid w:val="00A51F8B"/>
    <w:rsid w:val="00AA0165"/>
    <w:rsid w:val="00AB2B2D"/>
    <w:rsid w:val="00B206E8"/>
    <w:rsid w:val="00B52F4D"/>
    <w:rsid w:val="00BD244A"/>
    <w:rsid w:val="00BD47BC"/>
    <w:rsid w:val="00BE13FB"/>
    <w:rsid w:val="00BE1746"/>
    <w:rsid w:val="00C526CA"/>
    <w:rsid w:val="00C835CB"/>
    <w:rsid w:val="00CD1CBF"/>
    <w:rsid w:val="00CE49FA"/>
    <w:rsid w:val="00D04C8C"/>
    <w:rsid w:val="00D228FA"/>
    <w:rsid w:val="00D81E3C"/>
    <w:rsid w:val="00DF7839"/>
    <w:rsid w:val="00E6118F"/>
    <w:rsid w:val="00E65F93"/>
    <w:rsid w:val="00F0557E"/>
    <w:rsid w:val="00F47BBA"/>
    <w:rsid w:val="00F53E0C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73</cp:revision>
  <dcterms:created xsi:type="dcterms:W3CDTF">2012-11-27T06:19:00Z</dcterms:created>
  <dcterms:modified xsi:type="dcterms:W3CDTF">2012-11-29T09:00:00Z</dcterms:modified>
</cp:coreProperties>
</file>