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70" w:lineRule="auto"/>
        <w:jc w:val="left"/>
        <w:rPr>
          <w:rFonts w:ascii="Arial" w:cs="Arial" w:eastAsia="Arial" w:hAnsi="Arial"/>
          <w:b w:val="1"/>
          <w:bCs w:val="1"/>
          <w:color w:val="1f365c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7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65c"/>
          <w:sz w:val="28"/>
          <w:szCs w:val="28"/>
          <w:rtl w:val="0"/>
        </w:rPr>
        <w:t xml:space="preserve">AI Workforce Odyssey: Workforce Transitions Under AI Pressure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55" w:before="17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65c"/>
          <w:sz w:val="24"/>
          <w:szCs w:val="24"/>
          <w:rtl w:val="0"/>
        </w:rPr>
        <w:t xml:space="preserve">Model 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model represents 28 workers in a labor market where AI pressure falls more heavily on routine work. Each tick is one month, and the same model structure is used to compare a Tech-Driven scenario with a Human-Centric scenario.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55" w:before="17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65c"/>
          <w:sz w:val="24"/>
          <w:szCs w:val="24"/>
          <w:rtl w:val="0"/>
        </w:rPr>
        <w:t xml:space="preserve">Worker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Workers differ by task type, routine share, and adaptability. They move across five states: employed, at-risk, in-training, unemployed, and re-employed. Displaced workers receive transfers rather than fictitious labor income, and retraining builds human capital by raising adaptability.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55" w:before="17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65c"/>
          <w:sz w:val="24"/>
          <w:szCs w:val="24"/>
          <w:rtl w:val="0"/>
        </w:rPr>
        <w:t xml:space="preserve">Emergent Mechanism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main emergent mechanism is the interaction of a limited training system with local coworker spillovers on the workplace grid. Training capacity is explicitly capped, but clustering and uneven recovery are not programmed as outcomes; they arise because adjacent coworkers affect one another’s training and recovery chances.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spacing w:after="55" w:before="17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65c"/>
          <w:sz w:val="24"/>
          <w:szCs w:val="24"/>
          <w:rtl w:val="0"/>
        </w:rPr>
        <w:t xml:space="preserve">Scenario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This package uses the most recent complete NetLogo export for each scenario because the exact benchmark pair was not present.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 the current audited comparison, Tech-Driven reaches a peak unemployment rate of 25.0% while Human-Centric peaks at 7.1%, a gap of 17.9 percentage points. Human-Centric also ends with 0.65 more average liquid assets per worker and a lower burden Gini among exposed workers by 0.345.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900"/>
        <w:gridCol w:w="2730"/>
        <w:gridCol w:w="2730"/>
        <w:tblGridChange w:id="0">
          <w:tblGrid>
            <w:gridCol w:w="3900"/>
            <w:gridCol w:w="2730"/>
            <w:gridCol w:w="27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dce6f1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0C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Metric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dce6f1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0D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Tech-Driven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dce6f1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0E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9"/>
                <w:szCs w:val="19"/>
                <w:rtl w:val="0"/>
              </w:rPr>
              <w:t xml:space="preserve">Human-Centric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0F">
            <w:pPr>
              <w:spacing w:after="70" w:line="2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Peak unemployment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0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25.0%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1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7.1%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2">
            <w:pPr>
              <w:spacing w:after="70" w:line="2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Share ever unemployed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3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46.4%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4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10.7%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5">
            <w:pPr>
              <w:spacing w:after="70" w:line="2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Average unemployment time among exposed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6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49.4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7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17.0 months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8">
            <w:pPr>
              <w:spacing w:after="70" w:line="2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Burden Gini among exposed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9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0.542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A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0.196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B">
            <w:pPr>
              <w:spacing w:after="70" w:line="2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Average liquid assets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C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3.07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D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3.72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E">
            <w:pPr>
              <w:spacing w:after="70" w:line="2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Average supportive coworkers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1F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1.61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20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1.39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21">
            <w:pPr>
              <w:spacing w:after="70" w:line="25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Recovery cluster share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22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72.7%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ca3af" w:space="0" w:sz="4" w:val="single"/>
              <w:left w:color="9ca3af" w:space="0" w:sz="4" w:val="single"/>
              <w:bottom w:color="9ca3af" w:space="0" w:sz="4" w:val="single"/>
              <w:right w:color="9ca3af" w:space="0" w:sz="4" w:val="single"/>
            </w:tcBorders>
            <w:shd w:fill="f7f7f7" w:val="clear"/>
            <w:tcMar>
              <w:top w:w="55.0" w:type="dxa"/>
              <w:left w:w="85.0" w:type="dxa"/>
              <w:bottom w:w="55.0" w:type="dxa"/>
              <w:right w:w="85.0" w:type="dxa"/>
            </w:tcMar>
          </w:tcPr>
          <w:p w:rsidR="00000000" w:rsidDel="00000000" w:rsidP="00000000" w:rsidRDefault="00000000" w:rsidRPr="00000000" w14:paraId="00000023">
            <w:pPr>
              <w:spacing w:after="70" w:line="2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33.3%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70" w:line="25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These results fit the model logic. Under Tech-Driven, tighter support creates a stronger training bottleneck and larger unemployment burden. Under Human-Centric, workers spend less time unemployed, retain stronger balance sheets, and face a much smaller aggregate disruption path.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70" w:line="25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mechanism linking these gaps is queue pressure plus local spillovers. In Tech-Driven, scarce training seats and longer courses leave more workers waiting in at-risk or unemployed states, so fewer supportive examples are visible on the grid (1.61 supportive coworkers on average versus 1.39 in Human-Centric). That weaker local encouragement slows movement out of disruption and leaves many of the workers still in recovery states clustered together by tick 200 (72.7% versus 33.3%), which is why the unemployment burden remains much higher in the Tech-Driven case.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70" w:line="25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The clustering metrics should be read carefully. A low final recovery-cluster share does not necessarily mean weak coworker spillovers; it can also mean that fewer workers remain in in-training or re-employed states by the final tick. That is why the memo reads recovery-cluster share alongside average supportive coworkers and the workplace-grid screenshots.</w:t>
      </w:r>
      <w:r w:rsidDel="00000000" w:rsidR="00000000" w:rsidRPr="00000000">
        <w:rPr/>
        <w:drawing>
          <wp:inline distB="114300" distT="114300" distL="114300" distR="114300">
            <wp:extent cx="5315460" cy="426656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5460" cy="42665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Figure 1. Tech-Driven scenario at tick 200: workplace grid and system plots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70" w:line="250" w:lineRule="auto"/>
        <w:rPr/>
      </w:pPr>
      <w:r w:rsidDel="00000000" w:rsidR="00000000" w:rsidRPr="00000000">
        <w:rPr/>
        <w:drawing>
          <wp:inline distB="114300" distT="114300" distL="114300" distR="114300">
            <wp:extent cx="4843463" cy="382303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3463" cy="38230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Figure 2. Human-Centric scenario at tick 200: workplace grid and system plots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after="55" w:before="17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65c"/>
          <w:sz w:val="24"/>
          <w:szCs w:val="24"/>
          <w:rtl w:val="0"/>
        </w:rPr>
        <w:t xml:space="preserve">Reflection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What is explicitly programmed: displacement thresholds, training admission, timed transitions, transfer support, and household-budget accounting. What emerges: queue pressure, unequal recovery, and local recovery clusters generated by coworker spillovers on the workplace grid.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70" w:line="25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key limitation is that firms and government are not separate agents. The model is therefore best interpreted as a stylized labor-transition simulation rather than a full macroeconomic equilibrium model.</w:t>
      </w: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900" w:top="90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right"/>
      <w:rPr>
        <w:rFonts w:ascii="Arial" w:cs="Arial" w:eastAsia="Arial" w:hAnsi="Arial"/>
        <w:color w:val="666666"/>
        <w:sz w:val="18"/>
        <w:szCs w:val="18"/>
      </w:rPr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Agentic Technologies | Pablo Zavala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