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before="0" w:line="480"/>
        <w:jc w:val="center"/>
      </w:pPr>
      <w:r>
        <w:rPr>
          <w:rFonts w:ascii="Times New Roman" w:cs="Times New Roman" w:eastAsia="Times New Roman" w:hAnsi="Times New Roman"/>
          <w:b/>
          <w:bCs/>
          <w:i w:val="false"/>
          <w:iCs w:val="false"/>
          <w:color w:val="000000"/>
          <w:sz w:val="28"/>
          <w:szCs w:val="28"/>
        </w:rPr>
        <w:t xml:space="preserve">השייכות כמושג פסיכו-חברתי:</w:t>
      </w:r>
    </w:p>
    <w:p>
      <w:pPr>
        <w:bidi/>
        <w:spacing w:after="0" w:before="0" w:line="480"/>
        <w:jc w:val="center"/>
      </w:pPr>
      <w:r>
        <w:rPr>
          <w:rFonts w:ascii="Times New Roman" w:cs="Times New Roman" w:eastAsia="Times New Roman" w:hAnsi="Times New Roman"/>
          <w:b/>
          <w:bCs/>
          <w:i w:val="false"/>
          <w:iCs w:val="false"/>
          <w:color w:val="000000"/>
          <w:sz w:val="28"/>
          <w:szCs w:val="28"/>
        </w:rPr>
        <w:t xml:space="preserve">ניתוח השוואתי של הגדרות בספרות המחקר</w:t>
      </w:r>
    </w:p>
    <w:p>
      <w:pPr>
        <w:bidi/>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
      </w:r>
    </w:p>
    <w:p>
      <w:pPr>
        <w:bidi/>
        <w:spacing w:after="0" w:before="0" w:line="480"/>
        <w:jc w:val="center"/>
      </w:pPr>
      <w:r>
        <w:rPr>
          <w:rFonts w:ascii="Times New Roman" w:cs="Times New Roman" w:eastAsia="Times New Roman" w:hAnsi="Times New Roman"/>
          <w:b w:val="false"/>
          <w:bCs w:val="false"/>
          <w:i w:val="false"/>
          <w:iCs w:val="false"/>
          <w:color w:val="000000"/>
          <w:sz w:val="24"/>
          <w:szCs w:val="24"/>
        </w:rPr>
        <w:t xml:space="preserve">פז — 2026</w:t>
      </w:r>
    </w:p>
    <w:p>
      <w:pPr>
        <w:bidi/>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
      </w:r>
    </w:p>
    <w:p>
      <w:pPr>
        <w:bidi/>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
      </w:r>
    </w:p>
    <w:p>
      <w:pPr>
        <w:bidi/>
        <w:spacing w:after="0" w:before="0" w:line="480"/>
        <w:jc w:val="center"/>
      </w:pPr>
      <w:r>
        <w:rPr>
          <w:rFonts w:ascii="Times New Roman" w:cs="Times New Roman" w:eastAsia="Times New Roman" w:hAnsi="Times New Roman"/>
          <w:b/>
          <w:bCs/>
          <w:i w:val="false"/>
          <w:iCs w:val="false"/>
          <w:color w:val="000000"/>
          <w:sz w:val="24"/>
          <w:szCs w:val="24"/>
        </w:rPr>
        <w:t xml:space="preserve">תקציר</w:t>
      </w:r>
    </w:p>
    <w:p>
      <w:pPr>
        <w:bidi/>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מסמך זה סוקר את הגדרות מושג השייכות (Belonging) בספרות המחקר הרלוונטית ומנתח את נקודות הדמיון והשוני ביניהן. הניתוח מבוסס על מקורות ממדעי החברה, הפסיכולוגיה, וחינוך בלתי-פורמלי. הממצאים מצביעים על גרעין הסכמה — שייכות כצורך אנושי בסיסי הנחווה דרך קשרים חברתיים ותחושת קבלה — לצד שונות תיאורטית משמעותית בממדים, ברמות הניתוח וביחסים עם מושגים סמוכים.</w:t>
      </w:r>
    </w:p>
    <w:p>
      <w:pPr>
        <w:bidi/>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
      </w:r>
    </w:p>
    <w:p>
      <w:pPr>
        <w:bidi/>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מילות מפתח: </w:t>
      </w:r>
    </w:p>
    <w:p>
      <w:pPr>
        <w:bidi/>
        <w:spacing w:after="0" w:before="0" w:line="480"/>
        <w:ind w:firstLine="720"/>
        <w:jc w:val="both"/>
      </w:pPr>
      <w:r>
        <w:rPr>
          <w:rFonts w:ascii="Times New Roman" w:cs="Times New Roman" w:eastAsia="Times New Roman" w:hAnsi="Times New Roman"/>
          <w:b w:val="false"/>
          <w:bCs w:val="false"/>
          <w:i/>
          <w:iCs/>
          <w:color w:val="000000"/>
          <w:sz w:val="24"/>
          <w:szCs w:val="24"/>
        </w:rPr>
        <w:t xml:space="preserve">שייכות, לכידות קבוצתית, בטיחות פסיכולוגית, חינוך בלתי-פורמלי, זהות חברתית</w:t>
      </w:r>
    </w:p>
    <w:p>
      <w:pPr>
        <w:bidi/>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
      </w:r>
    </w:p>
    <w:p>
      <w:pPr>
        <w:bidi/>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
      </w:r>
    </w:p>
    <w:p>
      <w:pPr>
        <w:pStyle w:val="Heading1"/>
        <w:bidi/>
        <w:spacing w:after="240" w:before="240" w:line="480"/>
        <w:jc w:val="center"/>
      </w:pPr>
      <w:r>
        <w:rPr>
          <w:rFonts w:ascii="Times New Roman" w:cs="Times New Roman" w:eastAsia="Times New Roman" w:hAnsi="Times New Roman"/>
          <w:b/>
          <w:bCs/>
          <w:i w:val="false"/>
          <w:iCs w:val="false"/>
          <w:color w:val="000000"/>
          <w:sz w:val="24"/>
          <w:szCs w:val="24"/>
        </w:rPr>
        <w:t xml:space="preserve">הגדרות השייכות בספרות המחקר — ניתוח השוואתי</w:t>
      </w:r>
    </w:p>
    <w:p>
      <w:pPr>
        <w:bidi/>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
      </w:r>
    </w:p>
    <w:p>
      <w:pPr>
        <w:pStyle w:val="Heading2"/>
        <w:bidi/>
        <w:spacing w:after="120" w:before="240" w:line="480"/>
        <w:jc w:val="both"/>
      </w:pPr>
      <w:r>
        <w:rPr>
          <w:rFonts w:ascii="Times New Roman" w:cs="Times New Roman" w:eastAsia="Times New Roman" w:hAnsi="Times New Roman"/>
          <w:b/>
          <w:bCs/>
          <w:i w:val="false"/>
          <w:iCs w:val="false"/>
          <w:color w:val="000000"/>
          <w:sz w:val="24"/>
          <w:szCs w:val="24"/>
        </w:rPr>
        <w:t xml:space="preserve">מבוא</w:t>
      </w:r>
    </w:p>
    <w:p>
      <w:pPr>
        <w:bidi/>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מושג השייכות (Belonging) תופס מקום מרכזי בתיאוריות פסיכולוגיות, סוציולוגיות וחינוכיות. למרות השימוש הנרחב במונח, אין הסכמה אחידה על הגדרתו, ומאמרים שונים מדגישים ממדים שונים של החוויה. ניתוח השוואתי של ההגדרות חיוני להבנה מעמיקה של המושג ולשימוש ביעילות בהקשרי מחקר ופרקטיקה חינוכית.</w:t>
      </w:r>
    </w:p>
    <w:p>
      <w:pPr>
        <w:bidi/>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הסקירה הנוכחית בוחנת שישה גופי ידע מרכזיים: (א) מחקרים על שייכות בבית הספר ובהשכלה גבוהה, (ב) ספרות הלכידות הקבוצתית, (ג) מחקרי בטיחות פסיכולוגית, (ד) תיאוריות זהות חברתית, (ה) גישות סומטיות ומגולמות, ו-(ו) גישות ריטואליות וקהילתיות.</w:t>
      </w:r>
    </w:p>
    <w:p>
      <w:pPr>
        <w:bidi/>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
      </w:r>
    </w:p>
    <w:p>
      <w:pPr>
        <w:pStyle w:val="Heading2"/>
        <w:bidi/>
        <w:spacing w:after="120" w:before="240" w:line="480"/>
        <w:jc w:val="both"/>
      </w:pPr>
      <w:r>
        <w:rPr>
          <w:rFonts w:ascii="Times New Roman" w:cs="Times New Roman" w:eastAsia="Times New Roman" w:hAnsi="Times New Roman"/>
          <w:b/>
          <w:bCs/>
          <w:i w:val="false"/>
          <w:iCs w:val="false"/>
          <w:color w:val="000000"/>
          <w:sz w:val="24"/>
          <w:szCs w:val="24"/>
        </w:rPr>
        <w:t xml:space="preserve">הגדרות מרכזיות בספרות</w:t>
      </w:r>
    </w:p>
    <w:p>
      <w:pPr>
        <w:bidi/>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ניתן לזהות מספר קבוצות הגדרה עיקריות:</w:t>
      </w:r>
    </w:p>
    <w:p>
      <w:pPr>
        <w:bidi/>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
      </w:r>
    </w:p>
    <w:p>
      <w:pPr>
        <w:bidi/>
        <w:spacing w:after="0" w:before="0" w:line="480"/>
        <w:jc w:val="both"/>
      </w:pPr>
      <w:r>
        <w:rPr>
          <w:rFonts w:ascii="Times New Roman" w:cs="Times New Roman" w:eastAsia="Times New Roman" w:hAnsi="Times New Roman"/>
          <w:b/>
          <w:bCs/>
          <w:i w:val="false"/>
          <w:iCs w:val="false"/>
          <w:color w:val="000000"/>
          <w:sz w:val="24"/>
          <w:szCs w:val="24"/>
        </w:rPr>
        <w:t xml:space="preserve">2.1 שייכות כצורך פסיכולוגי בסיסי</w:t>
      </w:r>
    </w:p>
    <w:p>
      <w:pPr>
        <w:bidi/>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הגישה הפסיכולוגית-מוטיבציונית רואה בשייכות צורך אנושי אוניברסלי. Veerman ו-Denessen (2021) מגדירים לכידות חברתית בבתי ספר כמכלול הכולל יחסים בין-אישיים חיוביים, תחושת שייכות של כלל התלמידים, וסולידריות קבוצתית. ההגדרה שלהם רואה בשייכות את ה"ממד הפנימי-סובייקטיבי" של הלכידות, כלומר: האופן שבו הפרט חווה את עצמו כחלק מהקבוצה. גישה זו מציבה את השייכות כתוצאה של תהליכים בין-אישיים ולא כתכונה אינהרנטית של הפרט.</w:t>
      </w:r>
    </w:p>
    <w:p>
      <w:pPr>
        <w:bidi/>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
      </w:r>
    </w:p>
    <w:p>
      <w:pPr>
        <w:bidi/>
        <w:spacing w:after="0" w:before="0" w:line="480"/>
        <w:jc w:val="both"/>
      </w:pPr>
      <w:r>
        <w:rPr>
          <w:rFonts w:ascii="Times New Roman" w:cs="Times New Roman" w:eastAsia="Times New Roman" w:hAnsi="Times New Roman"/>
          <w:b/>
          <w:bCs/>
          <w:i w:val="false"/>
          <w:iCs w:val="false"/>
          <w:color w:val="000000"/>
          <w:sz w:val="24"/>
          <w:szCs w:val="24"/>
        </w:rPr>
        <w:t xml:space="preserve">2.2 שייכות כתופעה רב-ממדית</w:t>
      </w:r>
    </w:p>
    <w:p>
      <w:pPr>
        <w:bidi/>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Wallace et al. (2012) מניחים כי שייכות אצל מתבגרים אינה חד-ממדית אלא בנויה ממרכיבים נפרדים הניתנים לזיהוי אמפירי. בניתוח גורמים בשני שלבים (קבוצות מיקוד, n = 72; סקר מוצלב, n = 890) הם זיהו תת-ממדים הכוללים: קשרים עם עמיתים, קשרים עם מבוגרים, תחושת קבלה והכרה, ותחושת ביטחון. ההגדרה שלהם מדגישה כי "שייכות אינה סכום חלקיה" אלא מבנה היררכי שיש למדוד ולהבין ברמת תת-הממדים.</w:t>
      </w:r>
    </w:p>
    <w:p>
      <w:pPr>
        <w:bidi/>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Dueñas ו-Gloria (2017) הוסיפו ממד תרבותי-קהילתי להגדרה, בהראותם כי עבור סטודנטים לטינים שייכות אקדמית מורכבת ממרכיב פסיכולוגי (הערכה עצמית קולקטיבית), מרכיב חברתי (לכידות ושייכות למוסד), ומרכיב תרבותי (קונגרואנטיות תרבותית). שלושת הממדים יחד הסבירו 50% מהשונות במשתנה התלוי (חשיבות ומשמעות אישית — Mattering).</w:t>
      </w:r>
    </w:p>
    <w:p>
      <w:pPr>
        <w:bidi/>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
      </w:r>
    </w:p>
    <w:p>
      <w:pPr>
        <w:bidi/>
        <w:spacing w:after="0" w:before="0" w:line="480"/>
        <w:jc w:val="both"/>
      </w:pPr>
      <w:r>
        <w:rPr>
          <w:rFonts w:ascii="Times New Roman" w:cs="Times New Roman" w:eastAsia="Times New Roman" w:hAnsi="Times New Roman"/>
          <w:b/>
          <w:bCs/>
          <w:i w:val="false"/>
          <w:iCs w:val="false"/>
          <w:color w:val="000000"/>
          <w:sz w:val="24"/>
          <w:szCs w:val="24"/>
        </w:rPr>
        <w:t xml:space="preserve">2.3 שייכות כחוויה לימינלית וטקסית</w:t>
      </w:r>
    </w:p>
    <w:p>
      <w:pPr>
        <w:bidi/>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גישה סוציולוגית-אנתרופולוגית, המסתמכת על Turner (1969) ו-Durkheim, מגדירה שייכות דרך חוויות מעבר משותפות. Pitti et al. (2023) מציגים את מושג ה"השתתפות הלימינלית" — מצב שבו צעירים מאתגרים גבולות מוכרים של הכללה והדרה, ויוצרים שייכות חלקית, זמנית ומנוגדת. לפיהם, שייכות אינה נקודת הגעה אלא תהליך דינמי של תביעה ומשא ומתן.</w:t>
      </w:r>
    </w:p>
    <w:p>
      <w:pPr>
        <w:bidi/>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Chung (2018), מתוך גישה ילידית, מגדירה שייכות כחוויה שנרכשת דרך ה"חינוך כטקס" — השתתפות בפרקטיקות קהילתיות החוצות דורות ומחברות את הפרט למסורת ולזיכרון הקולקטיבי. הגדרה זו שוברת את הגבול בין שייכות לזהות ורואה בהן תהליך משותף אחד.</w:t>
      </w:r>
    </w:p>
    <w:p>
      <w:pPr>
        <w:bidi/>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
      </w:r>
    </w:p>
    <w:p>
      <w:pPr>
        <w:bidi/>
        <w:spacing w:after="0" w:before="0" w:line="480"/>
        <w:jc w:val="both"/>
      </w:pPr>
      <w:r>
        <w:rPr>
          <w:rFonts w:ascii="Times New Roman" w:cs="Times New Roman" w:eastAsia="Times New Roman" w:hAnsi="Times New Roman"/>
          <w:b/>
          <w:bCs/>
          <w:i w:val="false"/>
          <w:iCs w:val="false"/>
          <w:color w:val="000000"/>
          <w:sz w:val="24"/>
          <w:szCs w:val="24"/>
        </w:rPr>
        <w:t xml:space="preserve">2.4 שייכות כמותנית בבטיחות פסיכולוגית</w:t>
      </w:r>
    </w:p>
    <w:p>
      <w:pPr>
        <w:bidi/>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Edmondson (1999) מציבה את הבטיחות הפסיכולוגית כתנאי מקדים לשייכות בקבוצות לומדות: רק כאשר הפרט חש שאינו נענש על גילוי חולשה, שאלה, או שגיאה, הוא מסוגל לחוות שייכות אמיתית ולהשקיע בלמידה משותפת. לפי גישה זו, שייכות מוגדרת כ"תחושת ביטחון אינטרפרסונלי" המאפשרת נוכחות אותנטית בקבוצה.</w:t>
      </w:r>
    </w:p>
    <w:p>
      <w:pPr>
        <w:bidi/>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Wilkens ו-London (2006) הרחיבו את המודל בהראותם כי אקלים קבוצתי הכולל בטיחות פסיכולוגית ונכונות לגילוי עצמי (Self-Disclosure) מנבא ביצועים גבוהים יותר בקבוצות שיפור מתמיד. ממצאיהם מציעים כי שייכות תפקודית — כלומר, שייכות שמקדמת למידה ופעולה משותפת — תלויה במידה רבה בתחושת ביטחון.</w:t>
      </w:r>
    </w:p>
    <w:p>
      <w:pPr>
        <w:bidi/>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
      </w:r>
    </w:p>
    <w:p>
      <w:pPr>
        <w:bidi/>
        <w:spacing w:after="0" w:before="0" w:line="480"/>
        <w:jc w:val="both"/>
      </w:pPr>
      <w:r>
        <w:rPr>
          <w:rFonts w:ascii="Times New Roman" w:cs="Times New Roman" w:eastAsia="Times New Roman" w:hAnsi="Times New Roman"/>
          <w:b/>
          <w:bCs/>
          <w:i w:val="false"/>
          <w:iCs w:val="false"/>
          <w:color w:val="000000"/>
          <w:sz w:val="24"/>
          <w:szCs w:val="24"/>
        </w:rPr>
        <w:t xml:space="preserve">2.5 שייכות כחוויה סומטית ומגולמת</w:t>
      </w:r>
    </w:p>
    <w:p>
      <w:pPr>
        <w:bidi/>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Brown ו-Reid (2006) מציעים גישה ייחודית המבוססת על השערת הסמנים הסומטיים של Damasio: שייכות אינה רק תהליך קוגניטיבי אלא חוויה גופנית-רגשית. הגוף מייצר "סמנים" — תחושות פיזיולוגיות טרום-רפלקסיביות — המנחים את ההחלטה אם להשתייך לסביבה חברתית מסוימת. גישה זו מרחיבה את הגדרת השייכות מעבר לתפיסה קוגניטיבית-חברתית ומציבה את הגוף כשותף פעיל בחוויית ה"אנחנו".</w:t>
      </w:r>
    </w:p>
    <w:p>
      <w:pPr>
        <w:bidi/>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Chawla (2020) הראתה כי חוויות ישירות בטבע בגיל ילדות מייצרות שייכות מגולמת לסביבה ולקהילה לאורך מרבית שנות החיים. ממצאיה מרמזים כי שייכות אינה נרכשת רק ביחסים בין-אישיים אלא גם בקשר גופני עם מקום.</w:t>
      </w:r>
    </w:p>
    <w:p>
      <w:pPr>
        <w:bidi/>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
      </w:r>
    </w:p>
    <w:p>
      <w:pPr>
        <w:bidi/>
        <w:spacing w:after="0" w:before="0" w:line="480"/>
        <w:jc w:val="both"/>
      </w:pPr>
      <w:r>
        <w:rPr>
          <w:rFonts w:ascii="Times New Roman" w:cs="Times New Roman" w:eastAsia="Times New Roman" w:hAnsi="Times New Roman"/>
          <w:b/>
          <w:bCs/>
          <w:i w:val="false"/>
          <w:iCs w:val="false"/>
          <w:color w:val="000000"/>
          <w:sz w:val="24"/>
          <w:szCs w:val="24"/>
        </w:rPr>
        <w:t xml:space="preserve">2.6 שייכות כממד של לכידות חברתית ואינטגרציה</w:t>
      </w:r>
    </w:p>
    <w:p>
      <w:pPr>
        <w:bidi/>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Ravanera et al. (2003) מגדירים את האינטגרציה כ"לכידות חברתית ברמת הפרט", הבנויה משלושה ממדים: הכלה (Inclusion), השתתפות (Participation), ושייכות (Belonging). בהגדרה זו שייכות היא ממד רגשי-סובייקטיבי המשלים את הממדים המעשיים-התנהגותיים של הכלה והשתתפות. הייחוד בגישה זו הוא שהיא מגדירה שייכות כממד ב"סולם" שהיסוד שלו הוא השתתפות והפסגה שלו היא זהות.</w:t>
      </w:r>
    </w:p>
    <w:p>
      <w:pPr>
        <w:bidi/>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Jansen et al. (2006) דנים בשייכות כמרכיב מרכזי בחינוך לאזרחות פעילה, ומגדירים אותה כ"תחושת חיבור לרשת חברתית" הנבנית מתוך מחויבות הדדית ומשאבי הון חברתי.</w:t>
      </w:r>
    </w:p>
    <w:p>
      <w:pPr>
        <w:bidi/>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
      </w:r>
    </w:p>
    <w:p>
      <w:pPr>
        <w:pStyle w:val="Heading2"/>
        <w:bidi/>
        <w:spacing w:after="120" w:before="240" w:line="480"/>
        <w:jc w:val="both"/>
      </w:pPr>
      <w:r>
        <w:rPr>
          <w:rFonts w:ascii="Times New Roman" w:cs="Times New Roman" w:eastAsia="Times New Roman" w:hAnsi="Times New Roman"/>
          <w:b/>
          <w:bCs/>
          <w:i w:val="false"/>
          <w:iCs w:val="false"/>
          <w:color w:val="000000"/>
          <w:sz w:val="24"/>
          <w:szCs w:val="24"/>
        </w:rPr>
        <w:t xml:space="preserve">דמיון בין ההגדרות</w:t>
      </w:r>
    </w:p>
    <w:p>
      <w:pPr>
        <w:bidi/>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על אף השוני התיאורטי, מזוהות נקודות הסכמה חוצות-גישות:</w:t>
      </w:r>
    </w:p>
    <w:p>
      <w:pPr>
        <w:bidi/>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
      </w:r>
    </w:p>
    <w:p>
      <w:pPr>
        <w:bidi/>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ראשית, כל ההגדרות מסכימות כי שייכות היא חוויה סובייקטיבית שאין להסיקה ישירות ממנה מאפיינים חיצוניים כגון חברות פורמלית בקבוצה. הן Edmondson (1999) והן Wallace et al. (2012) מדגישים כי ניתן להיות חבר פורמלי בקבוצה ועדיין לא לחוות שייכות.</w:t>
      </w:r>
    </w:p>
    <w:p>
      <w:pPr>
        <w:bidi/>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שנית, שייכות מוצגת בכל הגישות כבעלת השפעה ישירה על רווחה נפשית ועל ביצועים. Oberle et al. (2019) הראו קשר ישיר בין השייכות לעמיתים בגיל ההתבגרות לבין בריאות נפשית. Wallace et al. (2012) מצאו כי שייכות בבית הספר ממלאת תפקיד מגן. Edmondson (1999) הוכיחה כי בטיחות פסיכולוגית — כתנאי לשייכות — מנבאת ביצועי קבוצה.</w:t>
      </w:r>
    </w:p>
    <w:p>
      <w:pPr>
        <w:bidi/>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שלישית, כל הגישות רואות בשייכות תהליך דינמי ולא מצב סטטי: היא נבנית, נשמרת ומאוימת לאורך הזמן. Ravanera et al. (2003) הראו שינויים בשייכות לאורך לוחות זמן של שנים; Pitti et al. (2023) הדגישו את טבעה המשתנה של השייכות בהקשרים לימינליים.</w:t>
      </w:r>
    </w:p>
    <w:p>
      <w:pPr>
        <w:bidi/>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רביעית, כלל ההגדרות מניחות כי שייכות דורשת הכרה (Recognition) מצד אחרים. הבדל בין "להיות שם" ל"להרגיש שייך" נעוץ ביכולת הפרט לחוש שנוכחותו מוכרת ומוערכת. Chung (2018) וגם Dueñas ו-Gloria (2017) מדגישים את ממד ה"ראייה" החברתית כמרכיב הכרחי.</w:t>
      </w:r>
    </w:p>
    <w:p>
      <w:pPr>
        <w:bidi/>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
      </w:r>
    </w:p>
    <w:p>
      <w:pPr>
        <w:pStyle w:val="Heading2"/>
        <w:bidi/>
        <w:spacing w:after="120" w:before="240" w:line="480"/>
        <w:jc w:val="both"/>
      </w:pPr>
      <w:r>
        <w:rPr>
          <w:rFonts w:ascii="Times New Roman" w:cs="Times New Roman" w:eastAsia="Times New Roman" w:hAnsi="Times New Roman"/>
          <w:b/>
          <w:bCs/>
          <w:i w:val="false"/>
          <w:iCs w:val="false"/>
          <w:color w:val="000000"/>
          <w:sz w:val="24"/>
          <w:szCs w:val="24"/>
        </w:rPr>
        <w:t xml:space="preserve">שוני בין ההגדרות</w:t>
      </w:r>
    </w:p>
    <w:p>
      <w:pPr>
        <w:bidi/>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לצד הגרעין המשותף, קיימים הבדלים מהותיים:</w:t>
      </w:r>
    </w:p>
    <w:p>
      <w:pPr>
        <w:bidi/>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
      </w:r>
    </w:p>
    <w:p>
      <w:pPr>
        <w:bidi/>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ראשית, רמת הניתוח: חלק מהגישות מתמקדות ברמה האינדיבידואלית (Brown &amp; Reid, 2006; Edmondson, 1999) בעוד אחרות מתמקדות ברמה הקבוצתית (Veerman &amp; Denessen, 2021; Carron et al., 2009) ואחרות ברמה הקהילתית-תרבותית (Jansen et al., 2006; Chung, 2018). רמת הניתוח קובעת לא רק את אופן ההגדרה אלא גם את שיטות המדידה.</w:t>
      </w:r>
    </w:p>
    <w:p>
      <w:pPr>
        <w:bidi/>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שנית, הממד הזמני: גישות פסיכולוגיות (Edmondson, 1999) מגדירות שייכות כמצב אפשרי יחסית מהיר ("אקלים צוות"), בעוד גישות התפתחותיות (Chawla, 2020; Chung, 2018) רואות בה תהליך שנבנה לאורך שנות חיים ועובר דרך ריטואלים ועיצוב זהות.</w:t>
      </w:r>
    </w:p>
    <w:p>
      <w:pPr>
        <w:bidi/>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שלישית, המקום של הגוף בחוויה: רוב הגישות מגדירות שייכות כחוויה קוגניטיבית-חברתית. לעומת זאת, Brown ו-Reid (2006) וגם Chawla (2020) מציבים את הגוף כפלטפורמה ראשונית לחוויית השייכות — גישה שנותרת מיעוטית בספרות.</w:t>
      </w:r>
    </w:p>
    <w:p>
      <w:pPr>
        <w:bidi/>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רביעית, האוניברסליות מול הספציפיות התרבותית: גישות פסיכולוגיות (Edmondson, 1999; Wallace et al., 2012) מציגות שייכות כצורך אנושי אוניברסלי. לעומתן, Chung (2018) ו-Dueñas ו-Gloria (2017) מדגישים כי ביטויה, ותנאיה, מעוצבים עמוקות על ידי הקשר תרבותי, אתני וגיאוגרפי.</w:t>
      </w:r>
    </w:p>
    <w:p>
      <w:pPr>
        <w:bidi/>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חמישית, היחס בין שייכות ל"אחרות": חלק מהגישות (Pitti et al., 2023; Ravanera et al., 2003) רואות בהדרה ובהכלה את שני הקטבים הקובעים של שייכות. גישות אחרות (Edmondson, 1999; Brown &amp; Reid, 2006) אינן מניחות בהכרח "אחר" כתנאי לחוויית השייכות.</w:t>
      </w:r>
    </w:p>
    <w:p>
      <w:pPr>
        <w:bidi/>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
      </w:r>
    </w:p>
    <w:p>
      <w:pPr>
        <w:pStyle w:val="Heading2"/>
        <w:bidi/>
        <w:spacing w:after="120" w:before="240" w:line="480"/>
        <w:jc w:val="both"/>
      </w:pPr>
      <w:r>
        <w:rPr>
          <w:rFonts w:ascii="Times New Roman" w:cs="Times New Roman" w:eastAsia="Times New Roman" w:hAnsi="Times New Roman"/>
          <w:b/>
          <w:bCs/>
          <w:i w:val="false"/>
          <w:iCs w:val="false"/>
          <w:color w:val="000000"/>
          <w:sz w:val="24"/>
          <w:szCs w:val="24"/>
        </w:rPr>
        <w:t xml:space="preserve">טבלת סיכום — הגדרות השייכות</w:t>
      </w:r>
    </w:p>
    <w:p>
      <w:pPr>
        <w:bidi/>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vAlign w:val="top"/>
          </w:tcPr>
          <w:p>
            <w:pPr>
              <w:bidi/>
              <w:jc w:val="center"/>
            </w:pPr>
            <w:r>
              <w:rPr>
                <w:rFonts w:ascii="Times New Roman" w:cs="Times New Roman" w:eastAsia="Times New Roman" w:hAnsi="Times New Roman"/>
                <w:b/>
                <w:bCs/>
                <w:sz w:val="24"/>
                <w:szCs w:val="24"/>
              </w:rPr>
              <w:t xml:space="preserve">מקור</w:t>
            </w:r>
          </w:p>
        </w:tc>
        <w:tc>
          <w:tcPr>
            <w:tcW w:type="dxa" w:w="2200"/>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vAlign w:val="top"/>
          </w:tcPr>
          <w:p>
            <w:pPr>
              <w:bidi/>
              <w:jc w:val="center"/>
            </w:pPr>
            <w:r>
              <w:rPr>
                <w:rFonts w:ascii="Times New Roman" w:cs="Times New Roman" w:eastAsia="Times New Roman" w:hAnsi="Times New Roman"/>
                <w:b/>
                <w:bCs/>
                <w:sz w:val="24"/>
                <w:szCs w:val="24"/>
              </w:rPr>
              <w:t xml:space="preserve">הגדרה / ממד מרכזי</w:t>
            </w:r>
          </w:p>
        </w:tc>
        <w:tc>
          <w:tcPr>
            <w:tcW w:type="dxa" w:w="2200"/>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vAlign w:val="top"/>
          </w:tcPr>
          <w:p>
            <w:pPr>
              <w:bidi/>
              <w:jc w:val="center"/>
            </w:pPr>
            <w:r>
              <w:rPr>
                <w:rFonts w:ascii="Times New Roman" w:cs="Times New Roman" w:eastAsia="Times New Roman" w:hAnsi="Times New Roman"/>
                <w:b/>
                <w:bCs/>
                <w:sz w:val="24"/>
                <w:szCs w:val="24"/>
              </w:rPr>
              <w:t xml:space="preserve">רמת ניתוח</w:t>
            </w:r>
          </w:p>
        </w:tc>
        <w:tc>
          <w:tcPr>
            <w:tcW w:type="dxa" w:w="2360"/>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vAlign w:val="top"/>
          </w:tcPr>
          <w:p>
            <w:pPr>
              <w:bidi/>
              <w:jc w:val="center"/>
            </w:pPr>
            <w:r>
              <w:rPr>
                <w:rFonts w:ascii="Times New Roman" w:cs="Times New Roman" w:eastAsia="Times New Roman" w:hAnsi="Times New Roman"/>
                <w:b/>
                <w:bCs/>
                <w:sz w:val="24"/>
                <w:szCs w:val="24"/>
              </w:rPr>
              <w:t xml:space="preserve">ממד זמני</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bidi/>
              <w:jc w:val="right"/>
            </w:pPr>
            <w:r>
              <w:rPr>
                <w:rFonts w:ascii="Times New Roman" w:cs="Times New Roman" w:eastAsia="Times New Roman" w:hAnsi="Times New Roman"/>
                <w:b/>
                <w:bCs/>
                <w:sz w:val="20"/>
                <w:szCs w:val="20"/>
              </w:rPr>
              <w:t xml:space="preserve">Edmondson, 1999</w:t>
            </w:r>
          </w:p>
        </w:tc>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bidi/>
              <w:jc w:val="right"/>
            </w:pPr>
            <w:r>
              <w:rPr>
                <w:rFonts w:ascii="Times New Roman" w:cs="Times New Roman" w:eastAsia="Times New Roman" w:hAnsi="Times New Roman"/>
                <w:b w:val="false"/>
                <w:bCs w:val="false"/>
                <w:sz w:val="20"/>
                <w:szCs w:val="20"/>
              </w:rPr>
              <w:t xml:space="preserve">בטיחות אינטרפרסונלית בקבוצה</w:t>
            </w:r>
          </w:p>
        </w:tc>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bidi/>
              <w:jc w:val="right"/>
            </w:pPr>
            <w:r>
              <w:rPr>
                <w:rFonts w:ascii="Times New Roman" w:cs="Times New Roman" w:eastAsia="Times New Roman" w:hAnsi="Times New Roman"/>
                <w:b w:val="false"/>
                <w:bCs w:val="false"/>
                <w:sz w:val="20"/>
                <w:szCs w:val="20"/>
              </w:rPr>
              <w:t xml:space="preserve">אינדיבידואלי / קבוצתי</w:t>
            </w:r>
          </w:p>
        </w:tc>
        <w:tc>
          <w:tcPr>
            <w:tcW w:type="dxa" w:w="2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bidi/>
              <w:jc w:val="right"/>
            </w:pPr>
            <w:r>
              <w:rPr>
                <w:rFonts w:ascii="Times New Roman" w:cs="Times New Roman" w:eastAsia="Times New Roman" w:hAnsi="Times New Roman"/>
                <w:b w:val="false"/>
                <w:bCs w:val="false"/>
                <w:sz w:val="20"/>
                <w:szCs w:val="20"/>
              </w:rPr>
              <w:t xml:space="preserve">קצר</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bidi/>
              <w:jc w:val="right"/>
            </w:pPr>
            <w:r>
              <w:rPr>
                <w:rFonts w:ascii="Times New Roman" w:cs="Times New Roman" w:eastAsia="Times New Roman" w:hAnsi="Times New Roman"/>
                <w:b/>
                <w:bCs/>
                <w:sz w:val="20"/>
                <w:szCs w:val="20"/>
              </w:rPr>
              <w:t xml:space="preserve">Wallace et al., 2012</w:t>
            </w:r>
          </w:p>
        </w:tc>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bidi/>
              <w:jc w:val="right"/>
            </w:pPr>
            <w:r>
              <w:rPr>
                <w:rFonts w:ascii="Times New Roman" w:cs="Times New Roman" w:eastAsia="Times New Roman" w:hAnsi="Times New Roman"/>
                <w:b w:val="false"/>
                <w:bCs w:val="false"/>
                <w:sz w:val="20"/>
                <w:szCs w:val="20"/>
              </w:rPr>
              <w:t xml:space="preserve">מבנה רב-ממדי: עמיתים, מבוגרים, קבלה, ביטחון</w:t>
            </w:r>
          </w:p>
        </w:tc>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bidi/>
              <w:jc w:val="right"/>
            </w:pPr>
            <w:r>
              <w:rPr>
                <w:rFonts w:ascii="Times New Roman" w:cs="Times New Roman" w:eastAsia="Times New Roman" w:hAnsi="Times New Roman"/>
                <w:b w:val="false"/>
                <w:bCs w:val="false"/>
                <w:sz w:val="20"/>
                <w:szCs w:val="20"/>
              </w:rPr>
              <w:t xml:space="preserve">אינדיבידואלי</w:t>
            </w:r>
          </w:p>
        </w:tc>
        <w:tc>
          <w:tcPr>
            <w:tcW w:type="dxa" w:w="2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bidi/>
              <w:jc w:val="right"/>
            </w:pPr>
            <w:r>
              <w:rPr>
                <w:rFonts w:ascii="Times New Roman" w:cs="Times New Roman" w:eastAsia="Times New Roman" w:hAnsi="Times New Roman"/>
                <w:b w:val="false"/>
                <w:bCs w:val="false"/>
                <w:sz w:val="20"/>
                <w:szCs w:val="20"/>
              </w:rPr>
              <w:t xml:space="preserve">מתמשך</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bidi/>
              <w:jc w:val="right"/>
            </w:pPr>
            <w:r>
              <w:rPr>
                <w:rFonts w:ascii="Times New Roman" w:cs="Times New Roman" w:eastAsia="Times New Roman" w:hAnsi="Times New Roman"/>
                <w:b/>
                <w:bCs/>
                <w:sz w:val="20"/>
                <w:szCs w:val="20"/>
              </w:rPr>
              <w:t xml:space="preserve">Dueñas &amp; Gloria, 2017</w:t>
            </w:r>
          </w:p>
        </w:tc>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bidi/>
              <w:jc w:val="right"/>
            </w:pPr>
            <w:r>
              <w:rPr>
                <w:rFonts w:ascii="Times New Roman" w:cs="Times New Roman" w:eastAsia="Times New Roman" w:hAnsi="Times New Roman"/>
                <w:b w:val="false"/>
                <w:bCs w:val="false"/>
                <w:sz w:val="20"/>
                <w:szCs w:val="20"/>
              </w:rPr>
              <w:t xml:space="preserve">פסיכולוגי + חברתי + תרבותי</w:t>
            </w:r>
          </w:p>
        </w:tc>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bidi/>
              <w:jc w:val="right"/>
            </w:pPr>
            <w:r>
              <w:rPr>
                <w:rFonts w:ascii="Times New Roman" w:cs="Times New Roman" w:eastAsia="Times New Roman" w:hAnsi="Times New Roman"/>
                <w:b w:val="false"/>
                <w:bCs w:val="false"/>
                <w:sz w:val="20"/>
                <w:szCs w:val="20"/>
              </w:rPr>
              <w:t xml:space="preserve">אינדיבידואלי / תרבותי</w:t>
            </w:r>
          </w:p>
        </w:tc>
        <w:tc>
          <w:tcPr>
            <w:tcW w:type="dxa" w:w="2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bidi/>
              <w:jc w:val="right"/>
            </w:pPr>
            <w:r>
              <w:rPr>
                <w:rFonts w:ascii="Times New Roman" w:cs="Times New Roman" w:eastAsia="Times New Roman" w:hAnsi="Times New Roman"/>
                <w:b w:val="false"/>
                <w:bCs w:val="false"/>
                <w:sz w:val="20"/>
                <w:szCs w:val="20"/>
              </w:rPr>
              <w:t xml:space="preserve">מתמשך</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bidi/>
              <w:jc w:val="right"/>
            </w:pPr>
            <w:r>
              <w:rPr>
                <w:rFonts w:ascii="Times New Roman" w:cs="Times New Roman" w:eastAsia="Times New Roman" w:hAnsi="Times New Roman"/>
                <w:b/>
                <w:bCs/>
                <w:sz w:val="20"/>
                <w:szCs w:val="20"/>
              </w:rPr>
              <w:t xml:space="preserve">Veerman &amp; Denessen, 2021</w:t>
            </w:r>
          </w:p>
        </w:tc>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bidi/>
              <w:jc w:val="right"/>
            </w:pPr>
            <w:r>
              <w:rPr>
                <w:rFonts w:ascii="Times New Roman" w:cs="Times New Roman" w:eastAsia="Times New Roman" w:hAnsi="Times New Roman"/>
                <w:b w:val="false"/>
                <w:bCs w:val="false"/>
                <w:sz w:val="20"/>
                <w:szCs w:val="20"/>
              </w:rPr>
              <w:t xml:space="preserve">ממד סובייקטיבי של לכידות חברתית</w:t>
            </w:r>
          </w:p>
        </w:tc>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bidi/>
              <w:jc w:val="right"/>
            </w:pPr>
            <w:r>
              <w:rPr>
                <w:rFonts w:ascii="Times New Roman" w:cs="Times New Roman" w:eastAsia="Times New Roman" w:hAnsi="Times New Roman"/>
                <w:b w:val="false"/>
                <w:bCs w:val="false"/>
                <w:sz w:val="20"/>
                <w:szCs w:val="20"/>
              </w:rPr>
              <w:t xml:space="preserve">קבוצתי</w:t>
            </w:r>
          </w:p>
        </w:tc>
        <w:tc>
          <w:tcPr>
            <w:tcW w:type="dxa" w:w="2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bidi/>
              <w:jc w:val="right"/>
            </w:pPr>
            <w:r>
              <w:rPr>
                <w:rFonts w:ascii="Times New Roman" w:cs="Times New Roman" w:eastAsia="Times New Roman" w:hAnsi="Times New Roman"/>
                <w:b w:val="false"/>
                <w:bCs w:val="false"/>
                <w:sz w:val="20"/>
                <w:szCs w:val="20"/>
              </w:rPr>
              <w:t xml:space="preserve">מתמשך</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bidi/>
              <w:jc w:val="right"/>
            </w:pPr>
            <w:r>
              <w:rPr>
                <w:rFonts w:ascii="Times New Roman" w:cs="Times New Roman" w:eastAsia="Times New Roman" w:hAnsi="Times New Roman"/>
                <w:b/>
                <w:bCs/>
                <w:sz w:val="20"/>
                <w:szCs w:val="20"/>
              </w:rPr>
              <w:t xml:space="preserve">Ravanera et al., 2003</w:t>
            </w:r>
          </w:p>
        </w:tc>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bidi/>
              <w:jc w:val="right"/>
            </w:pPr>
            <w:r>
              <w:rPr>
                <w:rFonts w:ascii="Times New Roman" w:cs="Times New Roman" w:eastAsia="Times New Roman" w:hAnsi="Times New Roman"/>
                <w:b w:val="false"/>
                <w:bCs w:val="false"/>
                <w:sz w:val="20"/>
                <w:szCs w:val="20"/>
              </w:rPr>
              <w:t xml:space="preserve">שלישיית: הכלה, השתתפות, שייכות</w:t>
            </w:r>
          </w:p>
        </w:tc>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bidi/>
              <w:jc w:val="right"/>
            </w:pPr>
            <w:r>
              <w:rPr>
                <w:rFonts w:ascii="Times New Roman" w:cs="Times New Roman" w:eastAsia="Times New Roman" w:hAnsi="Times New Roman"/>
                <w:b w:val="false"/>
                <w:bCs w:val="false"/>
                <w:sz w:val="20"/>
                <w:szCs w:val="20"/>
              </w:rPr>
              <w:t xml:space="preserve">אינדיבידואלי / קהילתי</w:t>
            </w:r>
          </w:p>
        </w:tc>
        <w:tc>
          <w:tcPr>
            <w:tcW w:type="dxa" w:w="2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bidi/>
              <w:jc w:val="right"/>
            </w:pPr>
            <w:r>
              <w:rPr>
                <w:rFonts w:ascii="Times New Roman" w:cs="Times New Roman" w:eastAsia="Times New Roman" w:hAnsi="Times New Roman"/>
                <w:b w:val="false"/>
                <w:bCs w:val="false"/>
                <w:sz w:val="20"/>
                <w:szCs w:val="20"/>
              </w:rPr>
              <w:t xml:space="preserve">מתמשך</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bidi/>
              <w:jc w:val="right"/>
            </w:pPr>
            <w:r>
              <w:rPr>
                <w:rFonts w:ascii="Times New Roman" w:cs="Times New Roman" w:eastAsia="Times New Roman" w:hAnsi="Times New Roman"/>
                <w:b/>
                <w:bCs/>
                <w:sz w:val="20"/>
                <w:szCs w:val="20"/>
              </w:rPr>
              <w:t xml:space="preserve">Pitti et al., 2023</w:t>
            </w:r>
          </w:p>
        </w:tc>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bidi/>
              <w:jc w:val="right"/>
            </w:pPr>
            <w:r>
              <w:rPr>
                <w:rFonts w:ascii="Times New Roman" w:cs="Times New Roman" w:eastAsia="Times New Roman" w:hAnsi="Times New Roman"/>
                <w:b w:val="false"/>
                <w:bCs w:val="false"/>
                <w:sz w:val="20"/>
                <w:szCs w:val="20"/>
              </w:rPr>
              <w:t xml:space="preserve">תביעה לימינלית דינמית</w:t>
            </w:r>
          </w:p>
        </w:tc>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bidi/>
              <w:jc w:val="right"/>
            </w:pPr>
            <w:r>
              <w:rPr>
                <w:rFonts w:ascii="Times New Roman" w:cs="Times New Roman" w:eastAsia="Times New Roman" w:hAnsi="Times New Roman"/>
                <w:b w:val="false"/>
                <w:bCs w:val="false"/>
                <w:sz w:val="20"/>
                <w:szCs w:val="20"/>
              </w:rPr>
              <w:t xml:space="preserve">קהילתי / פוליטי</w:t>
            </w:r>
          </w:p>
        </w:tc>
        <w:tc>
          <w:tcPr>
            <w:tcW w:type="dxa" w:w="2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bidi/>
              <w:jc w:val="right"/>
            </w:pPr>
            <w:r>
              <w:rPr>
                <w:rFonts w:ascii="Times New Roman" w:cs="Times New Roman" w:eastAsia="Times New Roman" w:hAnsi="Times New Roman"/>
                <w:b w:val="false"/>
                <w:bCs w:val="false"/>
                <w:sz w:val="20"/>
                <w:szCs w:val="20"/>
              </w:rPr>
              <w:t xml:space="preserve">זמני / משתנה</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bidi/>
              <w:jc w:val="right"/>
            </w:pPr>
            <w:r>
              <w:rPr>
                <w:rFonts w:ascii="Times New Roman" w:cs="Times New Roman" w:eastAsia="Times New Roman" w:hAnsi="Times New Roman"/>
                <w:b/>
                <w:bCs/>
                <w:sz w:val="20"/>
                <w:szCs w:val="20"/>
              </w:rPr>
              <w:t xml:space="preserve">Brown &amp; Reid, 2006</w:t>
            </w:r>
          </w:p>
        </w:tc>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bidi/>
              <w:jc w:val="right"/>
            </w:pPr>
            <w:r>
              <w:rPr>
                <w:rFonts w:ascii="Times New Roman" w:cs="Times New Roman" w:eastAsia="Times New Roman" w:hAnsi="Times New Roman"/>
                <w:b w:val="false"/>
                <w:bCs w:val="false"/>
                <w:sz w:val="20"/>
                <w:szCs w:val="20"/>
              </w:rPr>
              <w:t xml:space="preserve">סמנים סומטיים טרום-רפלקסיביים</w:t>
            </w:r>
          </w:p>
        </w:tc>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bidi/>
              <w:jc w:val="right"/>
            </w:pPr>
            <w:r>
              <w:rPr>
                <w:rFonts w:ascii="Times New Roman" w:cs="Times New Roman" w:eastAsia="Times New Roman" w:hAnsi="Times New Roman"/>
                <w:b w:val="false"/>
                <w:bCs w:val="false"/>
                <w:sz w:val="20"/>
                <w:szCs w:val="20"/>
              </w:rPr>
              <w:t xml:space="preserve">אינדיבידואלי / גופני</w:t>
            </w:r>
          </w:p>
        </w:tc>
        <w:tc>
          <w:tcPr>
            <w:tcW w:type="dxa" w:w="2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bidi/>
              <w:jc w:val="right"/>
            </w:pPr>
            <w:r>
              <w:rPr>
                <w:rFonts w:ascii="Times New Roman" w:cs="Times New Roman" w:eastAsia="Times New Roman" w:hAnsi="Times New Roman"/>
                <w:b w:val="false"/>
                <w:bCs w:val="false"/>
                <w:sz w:val="20"/>
                <w:szCs w:val="20"/>
              </w:rPr>
              <w:t xml:space="preserve">רגעי / מצטבר</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bidi/>
              <w:jc w:val="right"/>
            </w:pPr>
            <w:r>
              <w:rPr>
                <w:rFonts w:ascii="Times New Roman" w:cs="Times New Roman" w:eastAsia="Times New Roman" w:hAnsi="Times New Roman"/>
                <w:b/>
                <w:bCs/>
                <w:sz w:val="20"/>
                <w:szCs w:val="20"/>
              </w:rPr>
              <w:t xml:space="preserve">Chawla, 2020</w:t>
            </w:r>
          </w:p>
        </w:tc>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bidi/>
              <w:jc w:val="right"/>
            </w:pPr>
            <w:r>
              <w:rPr>
                <w:rFonts w:ascii="Times New Roman" w:cs="Times New Roman" w:eastAsia="Times New Roman" w:hAnsi="Times New Roman"/>
                <w:b w:val="false"/>
                <w:bCs w:val="false"/>
                <w:sz w:val="20"/>
                <w:szCs w:val="20"/>
              </w:rPr>
              <w:t xml:space="preserve">קשר גופני-סביבתי מגיל ילדות</w:t>
            </w:r>
          </w:p>
        </w:tc>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bidi/>
              <w:jc w:val="right"/>
            </w:pPr>
            <w:r>
              <w:rPr>
                <w:rFonts w:ascii="Times New Roman" w:cs="Times New Roman" w:eastAsia="Times New Roman" w:hAnsi="Times New Roman"/>
                <w:b w:val="false"/>
                <w:bCs w:val="false"/>
                <w:sz w:val="20"/>
                <w:szCs w:val="20"/>
              </w:rPr>
              <w:t xml:space="preserve">אינדיבידואלי / סביבתי</w:t>
            </w:r>
          </w:p>
        </w:tc>
        <w:tc>
          <w:tcPr>
            <w:tcW w:type="dxa" w:w="2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bidi/>
              <w:jc w:val="right"/>
            </w:pPr>
            <w:r>
              <w:rPr>
                <w:rFonts w:ascii="Times New Roman" w:cs="Times New Roman" w:eastAsia="Times New Roman" w:hAnsi="Times New Roman"/>
                <w:b w:val="false"/>
                <w:bCs w:val="false"/>
                <w:sz w:val="20"/>
                <w:szCs w:val="20"/>
              </w:rPr>
              <w:t xml:space="preserve">ארוך-טווח</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bidi/>
              <w:jc w:val="right"/>
            </w:pPr>
            <w:r>
              <w:rPr>
                <w:rFonts w:ascii="Times New Roman" w:cs="Times New Roman" w:eastAsia="Times New Roman" w:hAnsi="Times New Roman"/>
                <w:b/>
                <w:bCs/>
                <w:sz w:val="20"/>
                <w:szCs w:val="20"/>
              </w:rPr>
              <w:t xml:space="preserve">Chung, 2018</w:t>
            </w:r>
          </w:p>
        </w:tc>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bidi/>
              <w:jc w:val="right"/>
            </w:pPr>
            <w:r>
              <w:rPr>
                <w:rFonts w:ascii="Times New Roman" w:cs="Times New Roman" w:eastAsia="Times New Roman" w:hAnsi="Times New Roman"/>
                <w:b w:val="false"/>
                <w:bCs w:val="false"/>
                <w:sz w:val="20"/>
                <w:szCs w:val="20"/>
              </w:rPr>
              <w:t xml:space="preserve">השתתפות בריטואלים בין-דוריים</w:t>
            </w:r>
          </w:p>
        </w:tc>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bidi/>
              <w:jc w:val="right"/>
            </w:pPr>
            <w:r>
              <w:rPr>
                <w:rFonts w:ascii="Times New Roman" w:cs="Times New Roman" w:eastAsia="Times New Roman" w:hAnsi="Times New Roman"/>
                <w:b w:val="false"/>
                <w:bCs w:val="false"/>
                <w:sz w:val="20"/>
                <w:szCs w:val="20"/>
              </w:rPr>
              <w:t xml:space="preserve">קהילתי / תרבותי</w:t>
            </w:r>
          </w:p>
        </w:tc>
        <w:tc>
          <w:tcPr>
            <w:tcW w:type="dxa" w:w="2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bidi/>
              <w:jc w:val="right"/>
            </w:pPr>
            <w:r>
              <w:rPr>
                <w:rFonts w:ascii="Times New Roman" w:cs="Times New Roman" w:eastAsia="Times New Roman" w:hAnsi="Times New Roman"/>
                <w:b w:val="false"/>
                <w:bCs w:val="false"/>
                <w:sz w:val="20"/>
                <w:szCs w:val="20"/>
              </w:rPr>
              <w:t xml:space="preserve">בין-דורי</w:t>
            </w:r>
          </w:p>
        </w:tc>
      </w:tr>
    </w:tbl>
    <w:p>
      <w:pPr>
        <w:bidi/>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
      </w:r>
    </w:p>
    <w:p>
      <w:pPr>
        <w:bidi/>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הערה. </w:t>
      </w:r>
      <w:r>
        <w:rPr>
          <w:rFonts w:ascii="Times New Roman" w:cs="Times New Roman" w:eastAsia="Times New Roman" w:hAnsi="Times New Roman"/>
          <w:b w:val="false"/>
          <w:bCs w:val="false"/>
          <w:i/>
          <w:iCs/>
          <w:color w:val="000000"/>
          <w:sz w:val="24"/>
          <w:szCs w:val="24"/>
        </w:rPr>
        <w:t xml:space="preserve">הטבלה מסכמת את ההגדרות המרכזיות של שייכות בספרות הנסקרת. ממד זמני מתייחס לאופן שבו המחברים רואים את הבנייתה של שייכות.</w:t>
      </w:r>
    </w:p>
    <w:p>
      <w:pPr>
        <w:bidi/>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
      </w:r>
    </w:p>
    <w:p>
      <w:pPr>
        <w:pStyle w:val="Heading2"/>
        <w:bidi/>
        <w:spacing w:after="120" w:before="240" w:line="480"/>
        <w:jc w:val="both"/>
      </w:pPr>
      <w:r>
        <w:rPr>
          <w:rFonts w:ascii="Times New Roman" w:cs="Times New Roman" w:eastAsia="Times New Roman" w:hAnsi="Times New Roman"/>
          <w:b/>
          <w:bCs/>
          <w:i w:val="false"/>
          <w:iCs w:val="false"/>
          <w:color w:val="000000"/>
          <w:sz w:val="24"/>
          <w:szCs w:val="24"/>
        </w:rPr>
        <w:t xml:space="preserve">דיון</w:t>
      </w:r>
    </w:p>
    <w:p>
      <w:pPr>
        <w:bidi/>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הניתוח מגלה כי הספרות על שייכות עוסקת למעשה בשלושה "שייכויות" שונות: (א) שייכות כ"מצב רגשי" — חוויה רגעית של חיבור וקבלה; (ב) שייכות כ"מאפיין יחסי" — איכות הקשר הנרקמת בין פרטים וקבוצה לאורך זמן; (ג) שייכות כ"מעמד חברתי" — מצב אובייקטיבי של הכלה בקהילה. חלק ממחלוקות ההגדרה בספרות נובעות מכך שמחברים שונים עוסקים, ללא הצהרה מפורשת, בסוגים שונים של השייכות.</w:t>
      </w:r>
    </w:p>
    <w:p>
      <w:pPr>
        <w:bidi/>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היעדר הבחנה ברורה בין הממדים עשוי לפגוע בהשוואתיות בין מחקרים. כלי מדידה שפותחו למדידת שייכות כ"מצב רגשי" (כגון סולמות בטיחות פסיכולוגית) עשויים שלא להיות תקפים למדידת שייכות כ"מעמד חברתי" (כגון אינדיקטורים של הכלה קהילתית).</w:t>
      </w:r>
    </w:p>
    <w:p>
      <w:pPr>
        <w:bidi/>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לפיכך, מומלץ כי מחקרים עתידיים יציינו במפורש: (א) את רמת הניתוח (אינדיבידואלי, קבוצתי, קהילתי); (ב) את הממד הזמני (רגעי, מחזורי, התפתחותי); (ג) את ההקשר התרבותי שבו נבחנת השייכות.</w:t>
      </w:r>
    </w:p>
    <w:p>
      <w:pPr>
        <w:bidi/>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
      </w:r>
    </w:p>
    <w:p>
      <w:r>
        <w:br w:type="page"/>
      </w:r>
    </w:p>
    <w:p>
      <w:pPr>
        <w:bidi/>
        <w:spacing w:after="0" w:before="0" w:line="480"/>
        <w:jc w:val="center"/>
      </w:pPr>
      <w:r>
        <w:rPr>
          <w:rFonts w:ascii="Times New Roman" w:cs="Times New Roman" w:eastAsia="Times New Roman" w:hAnsi="Times New Roman"/>
          <w:b/>
          <w:bCs/>
          <w:i w:val="false"/>
          <w:iCs w:val="false"/>
          <w:color w:val="000000"/>
          <w:sz w:val="24"/>
          <w:szCs w:val="24"/>
        </w:rPr>
        <w:t xml:space="preserve">רשימת מקורות</w:t>
      </w:r>
    </w:p>
    <w:p>
      <w:pPr>
        <w:bidi/>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
      </w:r>
    </w:p>
    <w:p>
      <w:pPr>
        <w:bidi/>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Brown, L., &amp; Reid, D. A. (2006). Embodied cognition: Somatic markers, purposes and emotional orientations. </w:t>
      </w:r>
      <w:r>
        <w:rPr>
          <w:rFonts w:ascii="Times New Roman" w:cs="Times New Roman" w:eastAsia="Times New Roman" w:hAnsi="Times New Roman"/>
          <w:b w:val="false"/>
          <w:bCs w:val="false"/>
          <w:i/>
          <w:iCs/>
          <w:color w:val="000000"/>
          <w:sz w:val="24"/>
          <w:szCs w:val="24"/>
        </w:rPr>
        <w:t xml:space="preserve">Springer.</w:t>
      </w:r>
    </w:p>
    <w:p>
      <w:pPr>
        <w:bidi/>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
      </w:r>
    </w:p>
    <w:p>
      <w:pPr>
        <w:bidi/>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Carron, A. V., Eys, M. A., &amp; Bray, S. R. (2009). Development of a cohesion questionnaire for youth: The Youth Sport Environment Questionnaire. </w:t>
      </w:r>
      <w:r>
        <w:rPr>
          <w:rFonts w:ascii="Times New Roman" w:cs="Times New Roman" w:eastAsia="Times New Roman" w:hAnsi="Times New Roman"/>
          <w:b w:val="false"/>
          <w:bCs w:val="false"/>
          <w:i/>
          <w:iCs/>
          <w:color w:val="000000"/>
          <w:sz w:val="24"/>
          <w:szCs w:val="24"/>
        </w:rPr>
        <w:t xml:space="preserve">Journal of Sport and Exercise Psychology.</w:t>
      </w:r>
    </w:p>
    <w:p>
      <w:pPr>
        <w:bidi/>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
      </w:r>
    </w:p>
    <w:p>
      <w:pPr>
        <w:bidi/>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Chawla, L. (2020). Childhood nature connection and constructive hope: A review of research on connecting with nature and coping with environmental loss. </w:t>
      </w:r>
      <w:r>
        <w:rPr>
          <w:rFonts w:ascii="Times New Roman" w:cs="Times New Roman" w:eastAsia="Times New Roman" w:hAnsi="Times New Roman"/>
          <w:b w:val="false"/>
          <w:bCs w:val="false"/>
          <w:i/>
          <w:iCs/>
          <w:color w:val="000000"/>
          <w:sz w:val="24"/>
          <w:szCs w:val="24"/>
        </w:rPr>
        <w:t xml:space="preserve">People and Nature.</w:t>
      </w:r>
    </w:p>
    <w:p>
      <w:pPr>
        <w:bidi/>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
      </w:r>
    </w:p>
    <w:p>
      <w:pPr>
        <w:bidi/>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Chung, S. (2018). Education is ceremony: Thinking "with" stories of Indigenous youth and families. </w:t>
      </w:r>
      <w:r>
        <w:rPr>
          <w:rFonts w:ascii="Times New Roman" w:cs="Times New Roman" w:eastAsia="Times New Roman" w:hAnsi="Times New Roman"/>
          <w:b w:val="false"/>
          <w:bCs w:val="false"/>
          <w:i/>
          <w:iCs/>
          <w:color w:val="000000"/>
          <w:sz w:val="24"/>
          <w:szCs w:val="24"/>
        </w:rPr>
        <w:t xml:space="preserve">Curriculum Inquiry.</w:t>
      </w:r>
    </w:p>
    <w:p>
      <w:pPr>
        <w:bidi/>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
      </w:r>
    </w:p>
    <w:p>
      <w:pPr>
        <w:bidi/>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Dueñas, M., &amp; Gloria, A. M. (2017). ¿Pertenezco a esta universidad? The mediating role of belonging for collective self-esteem and mattering for Latin@ undergraduates. </w:t>
      </w:r>
      <w:r>
        <w:rPr>
          <w:rFonts w:ascii="Times New Roman" w:cs="Times New Roman" w:eastAsia="Times New Roman" w:hAnsi="Times New Roman"/>
          <w:b w:val="false"/>
          <w:bCs w:val="false"/>
          <w:i/>
          <w:iCs/>
          <w:color w:val="000000"/>
          <w:sz w:val="24"/>
          <w:szCs w:val="24"/>
        </w:rPr>
        <w:t xml:space="preserve">Journal of College Student Retention: Research, Theory &amp; Practice.</w:t>
      </w:r>
    </w:p>
    <w:p>
      <w:pPr>
        <w:bidi/>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
      </w:r>
    </w:p>
    <w:p>
      <w:pPr>
        <w:bidi/>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Edmondson, A. (1999). Psychological safety and learning behavior in work teams. </w:t>
      </w:r>
      <w:r>
        <w:rPr>
          <w:rFonts w:ascii="Times New Roman" w:cs="Times New Roman" w:eastAsia="Times New Roman" w:hAnsi="Times New Roman"/>
          <w:b w:val="false"/>
          <w:bCs w:val="false"/>
          <w:i/>
          <w:iCs/>
          <w:color w:val="000000"/>
          <w:sz w:val="24"/>
          <w:szCs w:val="24"/>
        </w:rPr>
        <w:t xml:space="preserve">Administrative Science Quarterly, 44</w:t>
      </w:r>
      <w:r>
        <w:rPr>
          <w:rFonts w:ascii="Times New Roman" w:cs="Times New Roman" w:eastAsia="Times New Roman" w:hAnsi="Times New Roman"/>
          <w:b w:val="false"/>
          <w:bCs w:val="false"/>
          <w:i w:val="false"/>
          <w:iCs w:val="false"/>
          <w:color w:val="000000"/>
          <w:sz w:val="24"/>
          <w:szCs w:val="24"/>
        </w:rPr>
        <w:t xml:space="preserve">(2), 350–383.</w:t>
      </w:r>
    </w:p>
    <w:p>
      <w:pPr>
        <w:bidi/>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
      </w:r>
    </w:p>
    <w:p>
      <w:pPr>
        <w:bidi/>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Jansen, T., Chioncel, N., &amp; Dekkers, H. (2006). Social cohesion and integration: Learning active citizenship. </w:t>
      </w:r>
      <w:r>
        <w:rPr>
          <w:rFonts w:ascii="Times New Roman" w:cs="Times New Roman" w:eastAsia="Times New Roman" w:hAnsi="Times New Roman"/>
          <w:b w:val="false"/>
          <w:bCs w:val="false"/>
          <w:i/>
          <w:iCs/>
          <w:color w:val="000000"/>
          <w:sz w:val="24"/>
          <w:szCs w:val="24"/>
        </w:rPr>
        <w:t xml:space="preserve">British Journal of Sociology of Education, 27</w:t>
      </w:r>
      <w:r>
        <w:rPr>
          <w:rFonts w:ascii="Times New Roman" w:cs="Times New Roman" w:eastAsia="Times New Roman" w:hAnsi="Times New Roman"/>
          <w:b w:val="false"/>
          <w:bCs w:val="false"/>
          <w:i w:val="false"/>
          <w:iCs w:val="false"/>
          <w:color w:val="000000"/>
          <w:sz w:val="24"/>
          <w:szCs w:val="24"/>
        </w:rPr>
        <w:t xml:space="preserve">(2), 189–205.</w:t>
      </w:r>
    </w:p>
    <w:p>
      <w:pPr>
        <w:bidi/>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
      </w:r>
    </w:p>
    <w:p>
      <w:pPr>
        <w:bidi/>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Mann, J., Gray, T., Truong, S., &amp; Brymer, E. (2022). Getting out of the classroom and into nature: A systematic review of nature-specific outdoor learning on school children's learning and development. </w:t>
      </w:r>
      <w:r>
        <w:rPr>
          <w:rFonts w:ascii="Times New Roman" w:cs="Times New Roman" w:eastAsia="Times New Roman" w:hAnsi="Times New Roman"/>
          <w:b w:val="false"/>
          <w:bCs w:val="false"/>
          <w:i/>
          <w:iCs/>
          <w:color w:val="000000"/>
          <w:sz w:val="24"/>
          <w:szCs w:val="24"/>
        </w:rPr>
        <w:t xml:space="preserve">Frontiers in Public Health.</w:t>
      </w:r>
    </w:p>
    <w:p>
      <w:pPr>
        <w:bidi/>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
      </w:r>
    </w:p>
    <w:p>
      <w:pPr>
        <w:bidi/>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Oberle, E., Ji, X. R., Guhn, M., &amp; Schonert-Reichl, K. A. (2019). Benefits of extracurricular participation in early adolescence: Associations with peer belonging and mental health. </w:t>
      </w:r>
      <w:r>
        <w:rPr>
          <w:rFonts w:ascii="Times New Roman" w:cs="Times New Roman" w:eastAsia="Times New Roman" w:hAnsi="Times New Roman"/>
          <w:b w:val="false"/>
          <w:bCs w:val="false"/>
          <w:i/>
          <w:iCs/>
          <w:color w:val="000000"/>
          <w:sz w:val="24"/>
          <w:szCs w:val="24"/>
        </w:rPr>
        <w:t xml:space="preserve">Journal of Youth and Adolescence, 48</w:t>
      </w:r>
      <w:r>
        <w:rPr>
          <w:rFonts w:ascii="Times New Roman" w:cs="Times New Roman" w:eastAsia="Times New Roman" w:hAnsi="Times New Roman"/>
          <w:b w:val="false"/>
          <w:bCs w:val="false"/>
          <w:i w:val="false"/>
          <w:iCs w:val="false"/>
          <w:color w:val="000000"/>
          <w:sz w:val="24"/>
          <w:szCs w:val="24"/>
        </w:rPr>
        <w:t xml:space="preserve">(11), 2255–2270.</w:t>
      </w:r>
    </w:p>
    <w:p>
      <w:pPr>
        <w:bidi/>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
      </w:r>
    </w:p>
    <w:p>
      <w:pPr>
        <w:bidi/>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Pitti, I., Mengilli, Y., &amp; Walther, A. (2023). Liminal participation: Young people's practices in the public sphere between exclusion, claims of belonging, and democratic innovation. </w:t>
      </w:r>
      <w:r>
        <w:rPr>
          <w:rFonts w:ascii="Times New Roman" w:cs="Times New Roman" w:eastAsia="Times New Roman" w:hAnsi="Times New Roman"/>
          <w:b w:val="false"/>
          <w:bCs w:val="false"/>
          <w:i/>
          <w:iCs/>
          <w:color w:val="000000"/>
          <w:sz w:val="24"/>
          <w:szCs w:val="24"/>
        </w:rPr>
        <w:t xml:space="preserve">Journal of Youth Studies.</w:t>
      </w:r>
    </w:p>
    <w:p>
      <w:pPr>
        <w:bidi/>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
      </w:r>
    </w:p>
    <w:p>
      <w:pPr>
        <w:bidi/>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Ravanera, Z. R., Rajulton, F., &amp; Turcotte, P. (2003). Youth integration and social capital: An analysis of the Canadian General Social Surveys on time use. </w:t>
      </w:r>
      <w:r>
        <w:rPr>
          <w:rFonts w:ascii="Times New Roman" w:cs="Times New Roman" w:eastAsia="Times New Roman" w:hAnsi="Times New Roman"/>
          <w:b w:val="false"/>
          <w:bCs w:val="false"/>
          <w:i/>
          <w:iCs/>
          <w:color w:val="000000"/>
          <w:sz w:val="24"/>
          <w:szCs w:val="24"/>
        </w:rPr>
        <w:t xml:space="preserve">Youth &amp; Society, 35</w:t>
      </w:r>
      <w:r>
        <w:rPr>
          <w:rFonts w:ascii="Times New Roman" w:cs="Times New Roman" w:eastAsia="Times New Roman" w:hAnsi="Times New Roman"/>
          <w:b w:val="false"/>
          <w:bCs w:val="false"/>
          <w:i w:val="false"/>
          <w:iCs w:val="false"/>
          <w:color w:val="000000"/>
          <w:sz w:val="24"/>
          <w:szCs w:val="24"/>
        </w:rPr>
        <w:t xml:space="preserve">(2), 158–182.</w:t>
      </w:r>
    </w:p>
    <w:p>
      <w:pPr>
        <w:bidi/>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
      </w:r>
    </w:p>
    <w:p>
      <w:pPr>
        <w:bidi/>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Veerman, G.-J., &amp; Denessen, E. (2021). Social cohesion in schools: A non-systematic review of its conceptualization and instruments. </w:t>
      </w:r>
      <w:r>
        <w:rPr>
          <w:rFonts w:ascii="Times New Roman" w:cs="Times New Roman" w:eastAsia="Times New Roman" w:hAnsi="Times New Roman"/>
          <w:b w:val="false"/>
          <w:bCs w:val="false"/>
          <w:i/>
          <w:iCs/>
          <w:color w:val="000000"/>
          <w:sz w:val="24"/>
          <w:szCs w:val="24"/>
        </w:rPr>
        <w:t xml:space="preserve">Cogent Education, 8</w:t>
      </w:r>
      <w:r>
        <w:rPr>
          <w:rFonts w:ascii="Times New Roman" w:cs="Times New Roman" w:eastAsia="Times New Roman" w:hAnsi="Times New Roman"/>
          <w:b w:val="false"/>
          <w:bCs w:val="false"/>
          <w:i w:val="false"/>
          <w:iCs w:val="false"/>
          <w:color w:val="000000"/>
          <w:sz w:val="24"/>
          <w:szCs w:val="24"/>
        </w:rPr>
        <w:t xml:space="preserve">(1).</w:t>
      </w:r>
    </w:p>
    <w:p>
      <w:pPr>
        <w:bidi/>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
      </w:r>
    </w:p>
    <w:p>
      <w:pPr>
        <w:bidi/>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Wallace, T. L., Ye, F., &amp; Chhuon, V. (2012). Subdimensions of adolescent belonging in high school. </w:t>
      </w:r>
      <w:r>
        <w:rPr>
          <w:rFonts w:ascii="Times New Roman" w:cs="Times New Roman" w:eastAsia="Times New Roman" w:hAnsi="Times New Roman"/>
          <w:b w:val="false"/>
          <w:bCs w:val="false"/>
          <w:i/>
          <w:iCs/>
          <w:color w:val="000000"/>
          <w:sz w:val="24"/>
          <w:szCs w:val="24"/>
        </w:rPr>
        <w:t xml:space="preserve">Applied Developmental Science, 16</w:t>
      </w:r>
      <w:r>
        <w:rPr>
          <w:rFonts w:ascii="Times New Roman" w:cs="Times New Roman" w:eastAsia="Times New Roman" w:hAnsi="Times New Roman"/>
          <w:b w:val="false"/>
          <w:bCs w:val="false"/>
          <w:i w:val="false"/>
          <w:iCs w:val="false"/>
          <w:color w:val="000000"/>
          <w:sz w:val="24"/>
          <w:szCs w:val="24"/>
        </w:rPr>
        <w:t xml:space="preserve">(3), 122–139.</w:t>
      </w:r>
    </w:p>
    <w:p>
      <w:pPr>
        <w:bidi/>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
      </w:r>
    </w:p>
    <w:p>
      <w:pPr>
        <w:bidi/>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Wilkens, R., &amp; London, M. (2006). Relationships between climate, process, and performance in continuous quality improvement groups. </w:t>
      </w:r>
      <w:r>
        <w:rPr>
          <w:rFonts w:ascii="Times New Roman" w:cs="Times New Roman" w:eastAsia="Times New Roman" w:hAnsi="Times New Roman"/>
          <w:b w:val="false"/>
          <w:bCs w:val="false"/>
          <w:i/>
          <w:iCs/>
          <w:color w:val="000000"/>
          <w:sz w:val="24"/>
          <w:szCs w:val="24"/>
        </w:rPr>
        <w:t xml:space="preserve">Journal of Applied Behavioral Science, 42</w:t>
      </w:r>
      <w:r>
        <w:rPr>
          <w:rFonts w:ascii="Times New Roman" w:cs="Times New Roman" w:eastAsia="Times New Roman" w:hAnsi="Times New Roman"/>
          <w:b w:val="false"/>
          <w:bCs w:val="false"/>
          <w:i w:val="false"/>
          <w:iCs w:val="false"/>
          <w:color w:val="000000"/>
          <w:sz w:val="24"/>
          <w:szCs w:val="24"/>
        </w:rPr>
        <w:t xml:space="preserve">(1), 81–111.</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bidi/>
      <w:jc w:val="right"/>
    </w:pPr>
    <w:r>
      <w:rPr>
        <w:rFonts w:ascii="Times New Roman" w:cs="Times New Roman" w:eastAsia="Times New Roman" w:hAnsi="Times New Roman"/>
        <w:sz w:val="20"/>
        <w:szCs w:val="20"/>
      </w:rPr>
      <w:t xml:space="preserve">השייכות כמושג פסיכו-חברתי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line="48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240" w:before="480" w:line="48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2026-05-07T06:42:55.155Z</dcterms:created>
  <dcterms:modified xsi:type="dcterms:W3CDTF">2026-05-07T06:42:55.155Z</dcterms:modified>
</cp:coreProperties>
</file>

<file path=docProps/custom.xml><?xml version="1.0" encoding="utf-8"?>
<Properties xmlns="http://schemas.openxmlformats.org/officeDocument/2006/custom-properties" xmlns:vt="http://schemas.openxmlformats.org/officeDocument/2006/docPropsVTypes"/>
</file>