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15200" w:type="dxa"/>
        <w:tblLayout w:type="fixed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CellMar>
          <w:top w:w="90" w:type="dxa"/>
          <w:left w:w="100" w:type="dxa"/>
          <w:bottom w:w="90" w:type="dxa"/>
          <w:right w:w="100" w:type="dxa"/>
        </w:tblCellMar>
      </w:tblPr>
      <w:tblGrid>
        <w:gridCol w:w="600"/>
        <w:gridCol w:w="3400"/>
        <w:gridCol w:w="11200"/>
      </w:tblGrid>
      <w:tr>
        <w:trPr>
          <w:tblHeader/>
          <w:cantSplit/>
        </w:trPr>
        <w:tc>
          <w:tcPr>
            <w:tcW w:w="600" w:type="dxa"/>
            <w:shd w:fill="D9E2F3"/>
          </w:tcPr>
          <w:p>
            <w:r>
              <w:rPr>
                <w:b/>
              </w:rPr>
              <w:t xml:space="preserve">No.</w:t>
            </w:r>
          </w:p>
        </w:tc>
        <w:tc>
          <w:tcPr>
            <w:tcW w:w="3400" w:type="dxa"/>
            <w:shd w:fill="D9E2F3"/>
          </w:tcPr>
          <w:p>
            <w:r>
              <w:rPr>
                <w:b/>
              </w:rPr>
              <w:t xml:space="preserve">Formula Name</w:t>
            </w:r>
          </w:p>
        </w:tc>
        <w:tc>
          <w:tcPr>
            <w:tcW w:w="11200" w:type="dxa"/>
            <w:shd w:fill="D9E2F3"/>
          </w:tcPr>
          <w:p>
            <w:r>
              <w:rPr>
                <w:b/>
              </w:rPr>
              <w:t xml:space="preserve">Formula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1</w:t>
            </w:r>
          </w:p>
        </w:tc>
        <w:tc>
          <w:tcPr>
            <w:tcW w:w="3400" w:type="dxa"/>
          </w:tcPr>
          <w:p>
            <w:r>
              <w:rPr/>
              <w:t xml:space="preserve">Score clipping</w:t>
            </w:r>
          </w:p>
        </w:tc>
        <w:tc>
          <w:tcPr>
            <w:tcW w:w="11200" w:type="dxa"/>
          </w:tcPr>
          <w:p>
            <w:r>
              <w:rPr/>
              <w:t xml:space="preserve">max(0, min(100, score))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2</w:t>
            </w:r>
          </w:p>
        </w:tc>
        <w:tc>
          <w:tcPr>
            <w:tcW w:w="3400" w:type="dxa"/>
          </w:tcPr>
          <w:p>
            <w:r>
              <w:rPr/>
              <w:t xml:space="preserve">Parameter rating normalization</w:t>
            </w:r>
          </w:p>
        </w:tc>
        <w:tc>
          <w:tcPr>
            <w:tcW w:w="11200" w:type="dxa"/>
          </w:tcPr>
          <w:p>
            <w:r>
              <w:rPr/>
              <w:t xml:space="preserve">(Rating − 1) ÷ 4 × 100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3</w:t>
            </w:r>
          </w:p>
        </w:tc>
        <w:tc>
          <w:tcPr>
            <w:tcW w:w="3400" w:type="dxa"/>
          </w:tcPr>
          <w:p>
            <w:r>
              <w:rPr/>
              <w:t xml:space="preserve">Relationship score</w:t>
            </w:r>
          </w:p>
        </w:tc>
        <w:tc>
          <w:tcPr>
            <w:tcW w:w="11200" w:type="dxa"/>
          </w:tcPr>
          <w:p>
            <w:r>
              <w:rPr/>
              <w:t xml:space="preserve">clip(Sum(Parameter weight × Normalized parameter rating))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4</w:t>
            </w:r>
          </w:p>
        </w:tc>
        <w:tc>
          <w:tcPr>
            <w:tcW w:w="3400" w:type="dxa"/>
          </w:tcPr>
          <w:p>
            <w:r>
              <w:rPr/>
              <w:t xml:space="preserve">Evidence confidence</w:t>
            </w:r>
          </w:p>
        </w:tc>
        <w:tc>
          <w:tcPr>
            <w:tcW w:w="11200" w:type="dxa"/>
          </w:tcPr>
          <w:p>
            <w:r>
              <w:rPr/>
              <w:t xml:space="preserve">0.50 × Source quality + 0.30 × Data freshness + 0.20 × Verification status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5</w:t>
            </w:r>
          </w:p>
        </w:tc>
        <w:tc>
          <w:tcPr>
            <w:tcW w:w="3400" w:type="dxa"/>
          </w:tcPr>
          <w:p>
            <w:r>
              <w:rPr/>
              <w:t xml:space="preserve">Confidence factor</w:t>
            </w:r>
          </w:p>
        </w:tc>
        <w:tc>
          <w:tcPr>
            <w:tcW w:w="11200" w:type="dxa"/>
          </w:tcPr>
          <w:p>
            <w:r>
              <w:rPr/>
              <w:t xml:space="preserve">Evidence confidence ÷ 100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6</w:t>
            </w:r>
          </w:p>
        </w:tc>
        <w:tc>
          <w:tcPr>
            <w:tcW w:w="3400" w:type="dxa"/>
          </w:tcPr>
          <w:p>
            <w:r>
              <w:rPr/>
              <w:t xml:space="preserve">Connected stress</w:t>
            </w:r>
          </w:p>
        </w:tc>
        <w:tc>
          <w:tcPr>
            <w:tcW w:w="11200" w:type="dxa"/>
          </w:tcPr>
          <w:p>
            <w:r>
              <w:rPr/>
              <w:t xml:space="preserve">0.40 × Financial/liquidity stress + 0.35 × Credit/market stress + 0.25 × Operational/legal/reputation stress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7</w:t>
            </w:r>
          </w:p>
        </w:tc>
        <w:tc>
          <w:tcPr>
            <w:tcW w:w="3400" w:type="dxa"/>
          </w:tcPr>
          <w:p>
            <w:r>
              <w:rPr/>
              <w:t xml:space="preserve">Connected exposure percentage</w:t>
            </w:r>
          </w:p>
        </w:tc>
        <w:tc>
          <w:tcPr>
            <w:tcW w:w="11200" w:type="dxa"/>
          </w:tcPr>
          <w:p>
            <w:r>
              <w:rPr/>
              <w:t xml:space="preserve">Connected EAD ÷ Applicable limit × 100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8</w:t>
            </w:r>
          </w:p>
        </w:tc>
        <w:tc>
          <w:tcPr>
            <w:tcW w:w="3400" w:type="dxa"/>
          </w:tcPr>
          <w:p>
            <w:r>
              <w:rPr/>
              <w:t xml:space="preserve">Exposure factor</w:t>
            </w:r>
          </w:p>
        </w:tc>
        <w:tc>
          <w:tcPr>
            <w:tcW w:w="11200" w:type="dxa"/>
          </w:tcPr>
          <w:p>
            <w:r>
              <w:rPr/>
              <w:t xml:space="preserve">0 ≤ P &lt; 10%: 0.75; 10% ≤ P &lt; 25%: 0.90; 25% ≤ P &lt; 50%: 1.00; 50% ≤ P &lt; 75%: 1.10; P ≥ 75%: 1.25; no limit: 1.00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9</w:t>
            </w:r>
          </w:p>
        </w:tc>
        <w:tc>
          <w:tcPr>
            <w:tcW w:w="3400" w:type="dxa"/>
          </w:tcPr>
          <w:p>
            <w:r>
              <w:rPr/>
              <w:t xml:space="preserve">Direction factor</w:t>
            </w:r>
          </w:p>
        </w:tc>
        <w:tc>
          <w:tcPr>
            <w:tcW w:w="11200" w:type="dxa"/>
          </w:tcPr>
          <w:p>
            <w:r>
              <w:rPr/>
              <w:t xml:space="preserve">Direct: 1.00; Strong indirect: 0.75; Moderate indirect: 0.50; Weak ancillary: 0.25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10</w:t>
            </w:r>
          </w:p>
        </w:tc>
        <w:tc>
          <w:tcPr>
            <w:tcW w:w="3400" w:type="dxa"/>
          </w:tcPr>
          <w:p>
            <w:r>
              <w:rPr/>
              <w:t xml:space="preserve">Relationship risk contribution</w:t>
            </w:r>
          </w:p>
        </w:tc>
        <w:tc>
          <w:tcPr>
            <w:tcW w:w="11200" w:type="dxa"/>
          </w:tcPr>
          <w:p>
            <w:r>
              <w:rPr/>
              <w:t xml:space="preserve">clip(Relationship score × Connected stress / 100 × Direction factor × Confidence factor × Exposure factor)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11</w:t>
            </w:r>
          </w:p>
        </w:tc>
        <w:tc>
          <w:tcPr>
            <w:tcW w:w="3400" w:type="dxa"/>
          </w:tcPr>
          <w:p>
            <w:r>
              <w:rPr/>
              <w:t xml:space="preserve">Dependency contribution</w:t>
            </w:r>
          </w:p>
        </w:tc>
        <w:tc>
          <w:tcPr>
            <w:tcW w:w="11200" w:type="dxa"/>
          </w:tcPr>
          <w:p>
            <w:r>
              <w:rPr/>
              <w:t xml:space="preserve">max(Contributions for the same economic dependency)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12</w:t>
            </w:r>
          </w:p>
        </w:tc>
        <w:tc>
          <w:tcPr>
            <w:tcW w:w="3400" w:type="dxa"/>
          </w:tcPr>
          <w:p>
            <w:r>
              <w:rPr/>
              <w:t xml:space="preserve">Network risk</w:t>
            </w:r>
          </w:p>
        </w:tc>
        <w:tc>
          <w:tcPr>
            <w:tcW w:w="11200" w:type="dxa"/>
          </w:tcPr>
          <w:p>
            <w:r>
              <w:rPr/>
              <w:t xml:space="preserve">clip(100 × (1 − Product(1 − clip(Dependency contribution) ÷ 100)))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13</w:t>
            </w:r>
          </w:p>
        </w:tc>
        <w:tc>
          <w:tcPr>
            <w:tcW w:w="3400" w:type="dxa"/>
          </w:tcPr>
          <w:p>
            <w:r>
              <w:rPr/>
              <w:t xml:space="preserve">Overall risk</w:t>
            </w:r>
          </w:p>
        </w:tc>
        <w:tc>
          <w:tcPr>
            <w:tcW w:w="11200" w:type="dxa"/>
          </w:tcPr>
          <w:p>
            <w:r>
              <w:rPr/>
              <w:t xml:space="preserve">clip(0.45 × Standalone + 0.35 × Network + 0.10 × Concentration + 0.10 × Event)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14</w:t>
            </w:r>
          </w:p>
        </w:tc>
        <w:tc>
          <w:tcPr>
            <w:tcW w:w="3400" w:type="dxa"/>
          </w:tcPr>
          <w:p>
            <w:r>
              <w:rPr/>
              <w:t xml:space="preserve">Funded facility EAD</w:t>
            </w:r>
          </w:p>
        </w:tc>
        <w:tc>
          <w:tcPr>
            <w:tcW w:w="11200" w:type="dxa"/>
          </w:tcPr>
          <w:p>
            <w:r>
              <w:rPr/>
              <w:t xml:space="preserve">Outstanding amount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15</w:t>
            </w:r>
          </w:p>
        </w:tc>
        <w:tc>
          <w:tcPr>
            <w:tcW w:w="3400" w:type="dxa"/>
          </w:tcPr>
          <w:p>
            <w:r>
              <w:rPr/>
              <w:t xml:space="preserve">Nonfunded facility EAD</w:t>
            </w:r>
          </w:p>
        </w:tc>
        <w:tc>
          <w:tcPr>
            <w:tcW w:w="11200" w:type="dxa"/>
          </w:tcPr>
          <w:p>
            <w:r>
              <w:rPr/>
              <w:t xml:space="preserve">Outstanding amount + Undrawn commitment × CCF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16</w:t>
            </w:r>
          </w:p>
        </w:tc>
        <w:tc>
          <w:tcPr>
            <w:tcW w:w="3400" w:type="dxa"/>
          </w:tcPr>
          <w:p>
            <w:r>
              <w:rPr/>
              <w:t xml:space="preserve">Limit utilization (%)</w:t>
            </w:r>
          </w:p>
        </w:tc>
        <w:tc>
          <w:tcPr>
            <w:tcW w:w="11200" w:type="dxa"/>
          </w:tcPr>
          <w:p>
            <w:r>
              <w:rPr/>
              <w:t xml:space="preserve">Outstanding amount ÷ Approved limit × 100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17</w:t>
            </w:r>
          </w:p>
        </w:tc>
        <w:tc>
          <w:tcPr>
            <w:tcW w:w="3400" w:type="dxa"/>
          </w:tcPr>
          <w:p>
            <w:r>
              <w:rPr/>
              <w:t xml:space="preserve">Expected credit loss</w:t>
            </w:r>
          </w:p>
        </w:tc>
        <w:tc>
          <w:tcPr>
            <w:tcW w:w="11200" w:type="dxa"/>
          </w:tcPr>
          <w:p>
            <w:r>
              <w:rPr/>
              <w:t xml:space="preserve">EAD × PD × LGD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18</w:t>
            </w:r>
          </w:p>
        </w:tc>
        <w:tc>
          <w:tcPr>
            <w:tcW w:w="3400" w:type="dxa"/>
          </w:tcPr>
          <w:p>
            <w:r>
              <w:rPr/>
              <w:t xml:space="preserve">Aggregate EAD</w:t>
            </w:r>
          </w:p>
        </w:tc>
        <w:tc>
          <w:tcPr>
            <w:tcW w:w="11200" w:type="dxa"/>
          </w:tcPr>
          <w:p>
            <w:r>
              <w:rPr/>
              <w:t xml:space="preserve">Sum(EAD across unique exposure IDs)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19</w:t>
            </w:r>
          </w:p>
        </w:tc>
        <w:tc>
          <w:tcPr>
            <w:tcW w:w="3400" w:type="dxa"/>
          </w:tcPr>
          <w:p>
            <w:r>
              <w:rPr/>
              <w:t xml:space="preserve">Aggregate expected credit loss</w:t>
            </w:r>
          </w:p>
        </w:tc>
        <w:tc>
          <w:tcPr>
            <w:tcW w:w="11200" w:type="dxa"/>
          </w:tcPr>
          <w:p>
            <w:r>
              <w:rPr/>
              <w:t xml:space="preserve">Sum(Expected credit loss across unique exposure IDs)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20</w:t>
            </w:r>
          </w:p>
        </w:tc>
        <w:tc>
          <w:tcPr>
            <w:tcW w:w="3400" w:type="dxa"/>
          </w:tcPr>
          <w:p>
            <w:r>
              <w:rPr/>
              <w:t xml:space="preserve">Group product exposure share (%)</w:t>
            </w:r>
          </w:p>
        </w:tc>
        <w:tc>
          <w:tcPr>
            <w:tcW w:w="11200" w:type="dxa"/>
          </w:tcPr>
          <w:p>
            <w:r>
              <w:rPr/>
              <w:t xml:space="preserve">Group product EAD ÷ Group EAD × 100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21</w:t>
            </w:r>
          </w:p>
        </w:tc>
        <w:tc>
          <w:tcPr>
            <w:tcW w:w="3400" w:type="dxa"/>
          </w:tcPr>
          <w:p>
            <w:r>
              <w:rPr/>
              <w:t xml:space="preserve">Indirect EAD</w:t>
            </w:r>
          </w:p>
        </w:tc>
        <w:tc>
          <w:tcPr>
            <w:tcW w:w="11200" w:type="dxa"/>
          </w:tcPr>
          <w:p>
            <w:r>
              <w:rPr/>
              <w:t xml:space="preserve">Sum(Unique exposure EAD for the union of Level 1 and Level 2 entities)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22</w:t>
            </w:r>
          </w:p>
        </w:tc>
        <w:tc>
          <w:tcPr>
            <w:tcW w:w="3400" w:type="dxa"/>
          </w:tcPr>
          <w:p>
            <w:r>
              <w:rPr/>
              <w:t xml:space="preserve">Collateral held</w:t>
            </w:r>
          </w:p>
        </w:tc>
        <w:tc>
          <w:tcPr>
            <w:tcW w:w="11200" w:type="dxa"/>
          </w:tcPr>
          <w:p>
            <w:r>
              <w:rPr/>
              <w:t xml:space="preserve">Collateral market value × (1 − Haircut)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23</w:t>
            </w:r>
          </w:p>
        </w:tc>
        <w:tc>
          <w:tcPr>
            <w:tcW w:w="3400" w:type="dxa"/>
          </w:tcPr>
          <w:p>
            <w:r>
              <w:rPr/>
              <w:t xml:space="preserve">Unsecured exposure</w:t>
            </w:r>
          </w:p>
        </w:tc>
        <w:tc>
          <w:tcPr>
            <w:tcW w:w="11200" w:type="dxa"/>
          </w:tcPr>
          <w:p>
            <w:r>
              <w:rPr/>
              <w:t xml:space="preserve">max(0, EAD − Eligible collateral)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24</w:t>
            </w:r>
          </w:p>
        </w:tc>
        <w:tc>
          <w:tcPr>
            <w:tcW w:w="3400" w:type="dxa"/>
          </w:tcPr>
          <w:p>
            <w:r>
              <w:rPr/>
              <w:t xml:space="preserve">Net exposure</w:t>
            </w:r>
          </w:p>
        </w:tc>
        <w:tc>
          <w:tcPr>
            <w:tcW w:w="11200" w:type="dxa"/>
          </w:tcPr>
          <w:p>
            <w:r>
              <w:rPr/>
              <w:t xml:space="preserve">max(0, EAD − Eligible collateral)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25</w:t>
            </w:r>
          </w:p>
        </w:tc>
        <w:tc>
          <w:tcPr>
            <w:tcW w:w="3400" w:type="dxa"/>
          </w:tcPr>
          <w:p>
            <w:r>
              <w:rPr/>
              <w:t xml:space="preserve">Estimated recovery</w:t>
            </w:r>
          </w:p>
        </w:tc>
        <w:tc>
          <w:tcPr>
            <w:tcW w:w="11200" w:type="dxa"/>
          </w:tcPr>
          <w:p>
            <w:r>
              <w:rPr/>
              <w:t xml:space="preserve">min(EAD, Eligible collateral + max(0, EAD − Eligible collateral) × (1 − LGD))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26</w:t>
            </w:r>
          </w:p>
        </w:tc>
        <w:tc>
          <w:tcPr>
            <w:tcW w:w="3400" w:type="dxa"/>
          </w:tcPr>
          <w:p>
            <w:r>
              <w:rPr/>
              <w:t xml:space="preserve">Recovery percentage</w:t>
            </w:r>
          </w:p>
        </w:tc>
        <w:tc>
          <w:tcPr>
            <w:tcW w:w="11200" w:type="dxa"/>
          </w:tcPr>
          <w:p>
            <w:r>
              <w:rPr/>
              <w:t xml:space="preserve">round(Estimated recovery ÷ EAD × 100); EAD = 0: 0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27</w:t>
            </w:r>
          </w:p>
        </w:tc>
        <w:tc>
          <w:tcPr>
            <w:tcW w:w="3400" w:type="dxa"/>
          </w:tcPr>
          <w:p>
            <w:r>
              <w:rPr/>
              <w:t xml:space="preserve">Blended haircut</w:t>
            </w:r>
          </w:p>
        </w:tc>
        <w:tc>
          <w:tcPr>
            <w:tcW w:w="11200" w:type="dxa"/>
          </w:tcPr>
          <w:p>
            <w:r>
              <w:rPr/>
              <w:t xml:space="preserve">(1 − Post-haircut collateral ÷ Collateral market value) × 100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28</w:t>
            </w:r>
          </w:p>
        </w:tc>
        <w:tc>
          <w:tcPr>
            <w:tcW w:w="3400" w:type="dxa"/>
          </w:tcPr>
          <w:p>
            <w:r>
              <w:rPr/>
              <w:t xml:space="preserve">Haircut</w:t>
            </w:r>
          </w:p>
        </w:tc>
        <w:tc>
          <w:tcPr>
            <w:tcW w:w="11200" w:type="dxa"/>
          </w:tcPr>
          <w:p>
            <w:r>
              <w:rPr/>
              <w:t xml:space="preserve">round(max(0, 100 × (1 − Allocated collateral ÷ Asset value))); Asset value = 0: 0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29</w:t>
            </w:r>
          </w:p>
        </w:tc>
        <w:tc>
          <w:tcPr>
            <w:tcW w:w="3400" w:type="dxa"/>
          </w:tcPr>
          <w:p>
            <w:r>
              <w:rPr/>
              <w:t xml:space="preserve">Total exposure</w:t>
            </w:r>
          </w:p>
        </w:tc>
        <w:tc>
          <w:tcPr>
            <w:tcW w:w="11200" w:type="dxa"/>
          </w:tcPr>
          <w:p>
            <w:r>
              <w:rPr/>
              <w:t xml:space="preserve">Funded exposure + Unfunded exposure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30</w:t>
            </w:r>
          </w:p>
        </w:tc>
        <w:tc>
          <w:tcPr>
            <w:tcW w:w="3400" w:type="dxa"/>
          </w:tcPr>
          <w:p>
            <w:r>
              <w:rPr/>
              <w:t xml:space="preserve">Total exposure</w:t>
            </w:r>
          </w:p>
        </w:tc>
        <w:tc>
          <w:tcPr>
            <w:tcW w:w="11200" w:type="dxa"/>
          </w:tcPr>
          <w:p>
            <w:r>
              <w:rPr/>
              <w:t xml:space="preserve">Funded exposure + Unfunded exposure + Potential future exposure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31</w:t>
            </w:r>
          </w:p>
        </w:tc>
        <w:tc>
          <w:tcPr>
            <w:tcW w:w="3400" w:type="dxa"/>
          </w:tcPr>
          <w:p>
            <w:r>
              <w:rPr/>
              <w:t xml:space="preserve">Connectivity score</w:t>
            </w:r>
          </w:p>
        </w:tc>
        <w:tc>
          <w:tcPr>
            <w:tcW w:w="11200" w:type="dxa"/>
          </w:tcPr>
          <w:p>
            <w:r>
              <w:rPr/>
              <w:t xml:space="preserve">clip(0.40 × Direct score + 0.30 × Indirect score + 0.30 × Diversity score)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32</w:t>
            </w:r>
          </w:p>
        </w:tc>
        <w:tc>
          <w:tcPr>
            <w:tcW w:w="3400" w:type="dxa"/>
          </w:tcPr>
          <w:p>
            <w:r>
              <w:rPr/>
              <w:t xml:space="preserve">Contagion insight score</w:t>
            </w:r>
          </w:p>
        </w:tc>
        <w:tc>
          <w:tcPr>
            <w:tcW w:w="11200" w:type="dxa"/>
          </w:tcPr>
          <w:p>
            <w:r>
              <w:rPr/>
              <w:t xml:space="preserve">clip(0.35 × Exposure concentration + 0.35 × Connectivity + 0.30 × Connected stress)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33</w:t>
            </w:r>
          </w:p>
        </w:tc>
        <w:tc>
          <w:tcPr>
            <w:tcW w:w="3400" w:type="dxa"/>
          </w:tcPr>
          <w:p>
            <w:r>
              <w:rPr/>
              <w:t xml:space="preserve">Committee score</w:t>
            </w:r>
          </w:p>
        </w:tc>
        <w:tc>
          <w:tcPr>
            <w:tcW w:w="11200" w:type="dxa"/>
          </w:tcPr>
          <w:p>
            <w:r>
              <w:rPr/>
              <w:t xml:space="preserve">clip(0.40 × Final risk + 0.30 × Contagion + 0.20 × Concentration + 0.10 × Event)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34</w:t>
            </w:r>
          </w:p>
        </w:tc>
        <w:tc>
          <w:tcPr>
            <w:tcW w:w="3400" w:type="dxa"/>
          </w:tcPr>
          <w:p>
            <w:r>
              <w:rPr/>
              <w:t xml:space="preserve">Path confidence (%)</w:t>
            </w:r>
          </w:p>
        </w:tc>
        <w:tc>
          <w:tcPr>
            <w:tcW w:w="11200" w:type="dxa"/>
          </w:tcPr>
          <w:p>
            <w:r>
              <w:rPr/>
              <w:t xml:space="preserve">100 × Product(Edge confidence ÷ 100)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35</w:t>
            </w:r>
          </w:p>
        </w:tc>
        <w:tc>
          <w:tcPr>
            <w:tcW w:w="3400" w:type="dxa"/>
          </w:tcPr>
          <w:p>
            <w:r>
              <w:rPr/>
              <w:t xml:space="preserve">Path transmission score</w:t>
            </w:r>
          </w:p>
        </w:tc>
        <w:tc>
          <w:tcPr>
            <w:tcW w:w="11200" w:type="dxa"/>
          </w:tcPr>
          <w:p>
            <w:r>
              <w:rPr/>
              <w:t xml:space="preserve">Trigger stress × Product(Edge relationship score / 100) × Product(Edge confidence / 100)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36</w:t>
            </w:r>
          </w:p>
        </w:tc>
        <w:tc>
          <w:tcPr>
            <w:tcW w:w="3400" w:type="dxa"/>
          </w:tcPr>
          <w:p>
            <w:r>
              <w:rPr/>
              <w:t xml:space="preserve">Two-hop dependency</w:t>
            </w:r>
          </w:p>
        </w:tc>
        <w:tc>
          <w:tcPr>
            <w:tcW w:w="11200" w:type="dxa"/>
          </w:tcPr>
          <w:p>
            <w:r>
              <w:rPr/>
              <w:t xml:space="preserve">round(First-edge dependency × Second-edge dependency, 4)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37</w:t>
            </w:r>
          </w:p>
        </w:tc>
        <w:tc>
          <w:tcPr>
            <w:tcW w:w="3400" w:type="dxa"/>
          </w:tcPr>
          <w:p>
            <w:r>
              <w:rPr/>
              <w:t xml:space="preserve">Two-hop path exposure</w:t>
            </w:r>
          </w:p>
        </w:tc>
        <w:tc>
          <w:tcPr>
            <w:tcW w:w="11200" w:type="dxa"/>
          </w:tcPr>
          <w:p>
            <w:r>
              <w:rPr/>
              <w:t xml:space="preserve">min(First-edge exposure, Second-edge exposure)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38</w:t>
            </w:r>
          </w:p>
        </w:tc>
        <w:tc>
          <w:tcPr>
            <w:tcW w:w="3400" w:type="dxa"/>
          </w:tcPr>
          <w:p>
            <w:r>
              <w:rPr/>
              <w:t xml:space="preserve">Sum of path exposures</w:t>
            </w:r>
          </w:p>
        </w:tc>
        <w:tc>
          <w:tcPr>
            <w:tcW w:w="11200" w:type="dxa"/>
          </w:tcPr>
          <w:p>
            <w:r>
              <w:rPr/>
              <w:t xml:space="preserve">Sum(Exposure amount across displayed paths)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39</w:t>
            </w:r>
          </w:p>
        </w:tc>
        <w:tc>
          <w:tcPr>
            <w:tcW w:w="3400" w:type="dxa"/>
          </w:tcPr>
          <w:p>
            <w:r>
              <w:rPr/>
              <w:t xml:space="preserve">Quarterly turnover change (%)</w:t>
            </w:r>
          </w:p>
        </w:tc>
        <w:tc>
          <w:tcPr>
            <w:tcW w:w="11200" w:type="dxa"/>
          </w:tcPr>
          <w:p>
            <w:r>
              <w:rPr/>
              <w:t xml:space="preserve">(Current-quarter turnover − Previous-quarter turnover) ÷ Previous-quarter turnover × 100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40</w:t>
            </w:r>
          </w:p>
        </w:tc>
        <w:tc>
          <w:tcPr>
            <w:tcW w:w="3400" w:type="dxa"/>
          </w:tcPr>
          <w:p>
            <w:r>
              <w:rPr/>
              <w:t xml:space="preserve">Turnover decline (%)</w:t>
            </w:r>
          </w:p>
        </w:tc>
        <w:tc>
          <w:tcPr>
            <w:tcW w:w="11200" w:type="dxa"/>
          </w:tcPr>
          <w:p>
            <w:r>
              <w:rPr/>
              <w:t xml:space="preserve">max(0, −Quarterly turnover change)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41</w:t>
            </w:r>
          </w:p>
        </w:tc>
        <w:tc>
          <w:tcPr>
            <w:tcW w:w="3400" w:type="dxa"/>
          </w:tcPr>
          <w:p>
            <w:r>
              <w:rPr/>
              <w:t xml:space="preserve">Sector stress score</w:t>
            </w:r>
          </w:p>
        </w:tc>
        <w:tc>
          <w:tcPr>
            <w:tcW w:w="11200" w:type="dxa"/>
          </w:tcPr>
          <w:p>
            <w:r>
              <w:rPr/>
              <w:t xml:space="preserve">0.50 × Industry default-rate score + 0.30 × Rating-downgrade score + 0.20 × Market-indicator score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42</w:t>
            </w:r>
          </w:p>
        </w:tc>
        <w:tc>
          <w:tcPr>
            <w:tcW w:w="3400" w:type="dxa"/>
          </w:tcPr>
          <w:p>
            <w:r>
              <w:rPr/>
              <w:t xml:space="preserve">Threshold breach</w:t>
            </w:r>
          </w:p>
        </w:tc>
        <w:tc>
          <w:tcPr>
            <w:tcW w:w="11200" w:type="dxa"/>
          </w:tcPr>
          <w:p>
            <w:r>
              <w:rPr/>
              <w:t xml:space="preserve">Observed value ≥ Configured threshold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43</w:t>
            </w:r>
          </w:p>
        </w:tc>
        <w:tc>
          <w:tcPr>
            <w:tcW w:w="3400" w:type="dxa"/>
          </w:tcPr>
          <w:p>
            <w:r>
              <w:rPr/>
              <w:t xml:space="preserve">Net debt / EBITDA</w:t>
            </w:r>
          </w:p>
        </w:tc>
        <w:tc>
          <w:tcPr>
            <w:tcW w:w="11200" w:type="dxa"/>
          </w:tcPr>
          <w:p>
            <w:r>
              <w:rPr/>
              <w:t xml:space="preserve">max(0, Debt − Cash) ÷ max(EBITDA, 0.01)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44</w:t>
            </w:r>
          </w:p>
        </w:tc>
        <w:tc>
          <w:tcPr>
            <w:tcW w:w="3400" w:type="dxa"/>
          </w:tcPr>
          <w:p>
            <w:r>
              <w:rPr/>
              <w:t xml:space="preserve">Bank exposure utilisation</w:t>
            </w:r>
          </w:p>
        </w:tc>
        <w:tc>
          <w:tcPr>
            <w:tcW w:w="11200" w:type="dxa"/>
          </w:tcPr>
          <w:p>
            <w:r>
              <w:rPr/>
              <w:t xml:space="preserve">EAD ÷ max(Limit, 0.01) × 100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45</w:t>
            </w:r>
          </w:p>
        </w:tc>
        <w:tc>
          <w:tcPr>
            <w:tcW w:w="3400" w:type="dxa"/>
          </w:tcPr>
          <w:p>
            <w:r>
              <w:rPr/>
              <w:t xml:space="preserve">Covenant headroom</w:t>
            </w:r>
          </w:p>
        </w:tc>
        <w:tc>
          <w:tcPr>
            <w:tcW w:w="11200" w:type="dxa"/>
          </w:tcPr>
          <w:p>
            <w:r>
              <w:rPr/>
              <w:t xml:space="preserve">Covenant headroom fraction × 100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46</w:t>
            </w:r>
          </w:p>
        </w:tc>
        <w:tc>
          <w:tcPr>
            <w:tcW w:w="3400" w:type="dxa"/>
          </w:tcPr>
          <w:p>
            <w:r>
              <w:rPr/>
              <w:t xml:space="preserve">Sector stress index</w:t>
            </w:r>
          </w:p>
        </w:tc>
        <w:tc>
          <w:tcPr>
            <w:tcW w:w="11200" w:type="dxa"/>
          </w:tcPr>
          <w:p>
            <w:r>
              <w:rPr/>
              <w:t xml:space="preserve">0.50 × Sector index + 0.30 × Country index + 0.20 × Incident rate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47</w:t>
            </w:r>
          </w:p>
        </w:tc>
        <w:tc>
          <w:tcPr>
            <w:tcW w:w="3400" w:type="dxa"/>
          </w:tcPr>
          <w:p>
            <w:r>
              <w:rPr/>
              <w:t xml:space="preserve">Lower-is-adverse watch threshold</w:t>
            </w:r>
          </w:p>
        </w:tc>
        <w:tc>
          <w:tcPr>
            <w:tcW w:w="11200" w:type="dxa"/>
          </w:tcPr>
          <w:p>
            <w:r>
              <w:rPr/>
              <w:t xml:space="preserve">Current value ≤ 1.20 × Threshold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48</w:t>
            </w:r>
          </w:p>
        </w:tc>
        <w:tc>
          <w:tcPr>
            <w:tcW w:w="3400" w:type="dxa"/>
          </w:tcPr>
          <w:p>
            <w:r>
              <w:rPr/>
              <w:t xml:space="preserve">Higher-is-adverse watch threshold</w:t>
            </w:r>
          </w:p>
        </w:tc>
        <w:tc>
          <w:tcPr>
            <w:tcW w:w="11200" w:type="dxa"/>
          </w:tcPr>
          <w:p>
            <w:r>
              <w:rPr/>
              <w:t xml:space="preserve">Current value ≥ 0.80 × Threshold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49</w:t>
            </w:r>
          </w:p>
        </w:tc>
        <w:tc>
          <w:tcPr>
            <w:tcW w:w="3400" w:type="dxa"/>
          </w:tcPr>
          <w:p>
            <w:r>
              <w:rPr/>
              <w:t xml:space="preserve">Credit Risk</w:t>
            </w:r>
          </w:p>
        </w:tc>
        <w:tc>
          <w:tcPr>
            <w:tcW w:w="11200" w:type="dxa"/>
          </w:tcPr>
          <w:p>
            <w:r>
              <w:rPr/>
              <w:t xml:space="preserve">clip(0.45×clip(100×Net debt ÷ EBITDA ÷ 8) + 0.35×clip(100×(1-Interest cover ÷ 4)) + 0.20×clip(100×(1-Covenant headroom ÷ 0.30)))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50</w:t>
            </w:r>
          </w:p>
        </w:tc>
        <w:tc>
          <w:tcPr>
            <w:tcW w:w="3400" w:type="dxa"/>
          </w:tcPr>
          <w:p>
            <w:r>
              <w:rPr/>
              <w:t xml:space="preserve">Default Risk</w:t>
            </w:r>
          </w:p>
        </w:tc>
        <w:tc>
          <w:tcPr>
            <w:tcW w:w="11200" w:type="dxa"/>
          </w:tcPr>
          <w:p>
            <w:r>
              <w:rPr/>
              <w:t xml:space="preserve">clip(PD ÷ 0.20 × 100)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51</w:t>
            </w:r>
          </w:p>
        </w:tc>
        <w:tc>
          <w:tcPr>
            <w:tcW w:w="3400" w:type="dxa"/>
          </w:tcPr>
          <w:p>
            <w:r>
              <w:rPr/>
              <w:t xml:space="preserve">Exposure Risk</w:t>
            </w:r>
          </w:p>
        </w:tc>
        <w:tc>
          <w:tcPr>
            <w:tcW w:w="11200" w:type="dxa"/>
          </w:tcPr>
          <w:p>
            <w:r>
              <w:rPr/>
              <w:t xml:space="preserve">clip(EAD ÷ Approved limit × 100)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52</w:t>
            </w:r>
          </w:p>
        </w:tc>
        <w:tc>
          <w:tcPr>
            <w:tcW w:w="3400" w:type="dxa"/>
          </w:tcPr>
          <w:p>
            <w:r>
              <w:rPr/>
              <w:t xml:space="preserve">Contagion Risk</w:t>
            </w:r>
          </w:p>
        </w:tc>
        <w:tc>
          <w:tcPr>
            <w:tcW w:w="11200" w:type="dxa"/>
          </w:tcPr>
          <w:p>
            <w:r>
              <w:rPr/>
              <w:t xml:space="preserve">clip(0.60×clip(100×Connected exposure ÷ EAD) + 0.40×Dependency score)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53</w:t>
            </w:r>
          </w:p>
        </w:tc>
        <w:tc>
          <w:tcPr>
            <w:tcW w:w="3400" w:type="dxa"/>
          </w:tcPr>
          <w:p>
            <w:r>
              <w:rPr/>
              <w:t xml:space="preserve">Recovery Risk</w:t>
            </w:r>
          </w:p>
        </w:tc>
        <w:tc>
          <w:tcPr>
            <w:tcW w:w="11200" w:type="dxa"/>
          </w:tcPr>
          <w:p>
            <w:r>
              <w:rPr/>
              <w:t xml:space="preserve">clip((EAD − Estimated recovery) ÷ EAD × 100)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54</w:t>
            </w:r>
          </w:p>
        </w:tc>
        <w:tc>
          <w:tcPr>
            <w:tcW w:w="3400" w:type="dxa"/>
          </w:tcPr>
          <w:p>
            <w:r>
              <w:rPr/>
              <w:t xml:space="preserve">Country Risk</w:t>
            </w:r>
          </w:p>
        </w:tc>
        <w:tc>
          <w:tcPr>
            <w:tcW w:w="11200" w:type="dxa"/>
          </w:tcPr>
          <w:p>
            <w:r>
              <w:rPr/>
              <w:t xml:space="preserve">clip(Country risk index)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55</w:t>
            </w:r>
          </w:p>
        </w:tc>
        <w:tc>
          <w:tcPr>
            <w:tcW w:w="3400" w:type="dxa"/>
          </w:tcPr>
          <w:p>
            <w:r>
              <w:rPr/>
              <w:t xml:space="preserve">Sector Risk</w:t>
            </w:r>
          </w:p>
        </w:tc>
        <w:tc>
          <w:tcPr>
            <w:tcW w:w="11200" w:type="dxa"/>
          </w:tcPr>
          <w:p>
            <w:r>
              <w:rPr/>
              <w:t xml:space="preserve">clip(Sector stress index)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56</w:t>
            </w:r>
          </w:p>
        </w:tc>
        <w:tc>
          <w:tcPr>
            <w:tcW w:w="3400" w:type="dxa"/>
          </w:tcPr>
          <w:p>
            <w:r>
              <w:rPr/>
              <w:t xml:space="preserve">Operational Risk</w:t>
            </w:r>
          </w:p>
        </w:tc>
        <w:tc>
          <w:tcPr>
            <w:tcW w:w="11200" w:type="dxa"/>
          </w:tcPr>
          <w:p>
            <w:r>
              <w:rPr/>
              <w:t xml:space="preserve">clip(0.60×Incident rate + 0.40×Critical dependency)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57</w:t>
            </w:r>
          </w:p>
        </w:tc>
        <w:tc>
          <w:tcPr>
            <w:tcW w:w="3400" w:type="dxa"/>
          </w:tcPr>
          <w:p>
            <w:r>
              <w:rPr/>
              <w:t xml:space="preserve">Liquidity Risk</w:t>
            </w:r>
          </w:p>
        </w:tc>
        <w:tc>
          <w:tcPr>
            <w:tcW w:w="11200" w:type="dxa"/>
          </w:tcPr>
          <w:p>
            <w:r>
              <w:rPr/>
              <w:t xml:space="preserve">clip(0.60×clip(100×(1-Cash ÷ Short term debt)) + 0.40×clip(100×(1-Current ratio ÷ 2)))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58</w:t>
            </w:r>
          </w:p>
        </w:tc>
        <w:tc>
          <w:tcPr>
            <w:tcW w:w="3400" w:type="dxa"/>
          </w:tcPr>
          <w:p>
            <w:r>
              <w:rPr/>
              <w:t xml:space="preserve">Ownership Risk</w:t>
            </w:r>
          </w:p>
        </w:tc>
        <w:tc>
          <w:tcPr>
            <w:tcW w:w="11200" w:type="dxa"/>
          </w:tcPr>
          <w:p>
            <w:r>
              <w:rPr/>
              <w:t xml:space="preserve">clip(0.70×Owner share + 0.30×Ownership complexity)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59</w:t>
            </w:r>
          </w:p>
        </w:tc>
        <w:tc>
          <w:tcPr>
            <w:tcW w:w="3400" w:type="dxa"/>
          </w:tcPr>
          <w:p>
            <w:r>
              <w:rPr/>
              <w:t xml:space="preserve">Supplier Risk</w:t>
            </w:r>
          </w:p>
        </w:tc>
        <w:tc>
          <w:tcPr>
            <w:tcW w:w="11200" w:type="dxa"/>
          </w:tcPr>
          <w:p>
            <w:r>
              <w:rPr/>
              <w:t xml:space="preserve">clip(0.65×Supplier share + 0.35×clip(100×Replacement months ÷ 12))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60</w:t>
            </w:r>
          </w:p>
        </w:tc>
        <w:tc>
          <w:tcPr>
            <w:tcW w:w="3400" w:type="dxa"/>
          </w:tcPr>
          <w:p>
            <w:r>
              <w:rPr/>
              <w:t xml:space="preserve">Customer Risk</w:t>
            </w:r>
          </w:p>
        </w:tc>
        <w:tc>
          <w:tcPr>
            <w:tcW w:w="11200" w:type="dxa"/>
          </w:tcPr>
          <w:p>
            <w:r>
              <w:rPr/>
              <w:t xml:space="preserve">clip(0.65×Customer revenue share + 0.35×Overdue receivables share)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61</w:t>
            </w:r>
          </w:p>
        </w:tc>
        <w:tc>
          <w:tcPr>
            <w:tcW w:w="3400" w:type="dxa"/>
          </w:tcPr>
          <w:p>
            <w:r>
              <w:rPr/>
              <w:t xml:space="preserve">Funding Risk</w:t>
            </w:r>
          </w:p>
        </w:tc>
        <w:tc>
          <w:tcPr>
            <w:tcW w:w="11200" w:type="dxa"/>
          </w:tcPr>
          <w:p>
            <w:r>
              <w:rPr/>
              <w:t xml:space="preserve">clip(0.70×clip(100×Short term debt ÷ Debt) + 0.30×clip(100×(1-Cash ÷ Short term debt)))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62</w:t>
            </w:r>
          </w:p>
        </w:tc>
        <w:tc>
          <w:tcPr>
            <w:tcW w:w="3400" w:type="dxa"/>
          </w:tcPr>
          <w:p>
            <w:r>
              <w:rPr/>
              <w:t xml:space="preserve">Legal Risk</w:t>
            </w:r>
          </w:p>
        </w:tc>
        <w:tc>
          <w:tcPr>
            <w:tcW w:w="11200" w:type="dxa"/>
          </w:tcPr>
          <w:p>
            <w:r>
              <w:rPr/>
              <w:t xml:space="preserve">clip(0.70×clip(100×Claims ÷ Revenue) + 0.30×Open case index)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63</w:t>
            </w:r>
          </w:p>
        </w:tc>
        <w:tc>
          <w:tcPr>
            <w:tcW w:w="3400" w:type="dxa"/>
          </w:tcPr>
          <w:p>
            <w:r>
              <w:rPr/>
              <w:t xml:space="preserve">Collateral Risk</w:t>
            </w:r>
          </w:p>
        </w:tc>
        <w:tc>
          <w:tcPr>
            <w:tcW w:w="11200" w:type="dxa"/>
          </w:tcPr>
          <w:p>
            <w:r>
              <w:rPr/>
              <w:t xml:space="preserve">clip(0.70×clip(100×(1-Eligible collateral ÷ EAD)) + 0.30×100×Haircut)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64</w:t>
            </w:r>
          </w:p>
        </w:tc>
        <w:tc>
          <w:tcPr>
            <w:tcW w:w="3400" w:type="dxa"/>
          </w:tcPr>
          <w:p>
            <w:r>
              <w:rPr/>
              <w:t xml:space="preserve">Net debt</w:t>
            </w:r>
          </w:p>
        </w:tc>
        <w:tc>
          <w:tcPr>
            <w:tcW w:w="11200" w:type="dxa"/>
          </w:tcPr>
          <w:p>
            <w:r>
              <w:rPr/>
              <w:t xml:space="preserve">max(0, Debt − Cash)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65</w:t>
            </w:r>
          </w:p>
        </w:tc>
        <w:tc>
          <w:tcPr>
            <w:tcW w:w="3400" w:type="dxa"/>
          </w:tcPr>
          <w:p>
            <w:r>
              <w:rPr/>
              <w:t xml:space="preserve">Synthetic standalone risk</w:t>
            </w:r>
          </w:p>
        </w:tc>
        <w:tc>
          <w:tcPr>
            <w:tcW w:w="11200" w:type="dxa"/>
          </w:tcPr>
          <w:p>
            <w:r>
              <w:rPr/>
              <w:t xml:space="preserve">round((Credit risk + Default risk + Liquidity risk) ÷ 3, 2)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66</w:t>
            </w:r>
          </w:p>
        </w:tc>
        <w:tc>
          <w:tcPr>
            <w:tcW w:w="3400" w:type="dxa"/>
          </w:tcPr>
          <w:p>
            <w:r>
              <w:rPr/>
              <w:t xml:space="preserve">Synthetic concentration risk</w:t>
            </w:r>
          </w:p>
        </w:tc>
        <w:tc>
          <w:tcPr>
            <w:tcW w:w="11200" w:type="dxa"/>
          </w:tcPr>
          <w:p>
            <w:r>
              <w:rPr/>
              <w:t xml:space="preserve">round((Exposure risk + Supplier risk + Customer risk) ÷ 3, 2)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67</w:t>
            </w:r>
          </w:p>
        </w:tc>
        <w:tc>
          <w:tcPr>
            <w:tcW w:w="3400" w:type="dxa"/>
          </w:tcPr>
          <w:p>
            <w:r>
              <w:rPr/>
              <w:t xml:space="preserve">Synthetic event risk</w:t>
            </w:r>
          </w:p>
        </w:tc>
        <w:tc>
          <w:tcPr>
            <w:tcW w:w="11200" w:type="dxa"/>
          </w:tcPr>
          <w:p>
            <w:r>
              <w:rPr/>
              <w:t xml:space="preserve">round((Operational risk + Legal risk) ÷ 2, 2)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68</w:t>
            </w:r>
          </w:p>
        </w:tc>
        <w:tc>
          <w:tcPr>
            <w:tcW w:w="3400" w:type="dxa"/>
          </w:tcPr>
          <w:p>
            <w:r>
              <w:rPr/>
              <w:t xml:space="preserve">Systemic importance</w:t>
            </w:r>
          </w:p>
        </w:tc>
        <w:tc>
          <w:tcPr>
            <w:tcW w:w="11200" w:type="dxa"/>
          </w:tcPr>
          <w:p>
            <w:r>
              <w:rPr/>
              <w:t xml:space="preserve">0.50 × Exposure risk + 0.30 × Sector risk + 0.20 × Operational risk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69</w:t>
            </w:r>
          </w:p>
        </w:tc>
        <w:tc>
          <w:tcPr>
            <w:tcW w:w="3400" w:type="dxa"/>
          </w:tcPr>
          <w:p>
            <w:r>
              <w:rPr/>
              <w:t xml:space="preserve">Materiality</w:t>
            </w:r>
          </w:p>
        </w:tc>
        <w:tc>
          <w:tcPr>
            <w:tcW w:w="11200" w:type="dxa"/>
          </w:tcPr>
          <w:p>
            <w:r>
              <w:rPr/>
              <w:t xml:space="preserve">round(Category risk score ÷ 100, 2)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70</w:t>
            </w:r>
          </w:p>
        </w:tc>
        <w:tc>
          <w:tcPr>
            <w:tcW w:w="3400" w:type="dxa"/>
          </w:tcPr>
          <w:p>
            <w:r>
              <w:rPr/>
              <w:t xml:space="preserve">Parent / Subsidiary - Ownership and control</w:t>
            </w:r>
          </w:p>
        </w:tc>
        <w:tc>
          <w:tcPr>
            <w:tcW w:w="11200" w:type="dxa"/>
          </w:tcPr>
          <w:p>
            <w:r>
              <w:rPr/>
              <w:t xml:space="preserve">Ownership % = Parent-owned shares ÷ Total subsidiary shares × 100. Also calculate Voting Control % = Parent-controlled votes ÷ Total votes × 100. Use the higher-risk result.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71</w:t>
            </w:r>
          </w:p>
        </w:tc>
        <w:tc>
          <w:tcPr>
            <w:tcW w:w="3400" w:type="dxa"/>
          </w:tcPr>
          <w:p>
            <w:r>
              <w:rPr/>
              <w:t xml:space="preserve">Parent / Subsidiary - Subsidiary financial materiality</w:t>
            </w:r>
          </w:p>
        </w:tc>
        <w:tc>
          <w:tcPr>
            <w:tcW w:w="11200" w:type="dxa"/>
          </w:tcPr>
          <w:p>
            <w:r>
              <w:rPr/>
              <w:t xml:space="preserve">Revenue Share = Subsidiary revenue ÷ Group revenue × 100. Asset Share = Subsidiary assets ÷ Group assets × 100. EBITDA Share = Subsidiary EBITDA ÷ Group EBITDA × 100. Financial Materiality = 40% Revenue Share + 30% Asset Share + 30% EBITDA Share.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72</w:t>
            </w:r>
          </w:p>
        </w:tc>
        <w:tc>
          <w:tcPr>
            <w:tcW w:w="3400" w:type="dxa"/>
          </w:tcPr>
          <w:p>
            <w:r>
              <w:rPr/>
              <w:t xml:space="preserve">Parent / Subsidiary - Parent exposure and support</w:t>
            </w:r>
          </w:p>
        </w:tc>
        <w:tc>
          <w:tcPr>
            <w:tcW w:w="11200" w:type="dxa"/>
          </w:tcPr>
          <w:p>
            <w:r>
              <w:rPr/>
              <w:t xml:space="preserve">Support Exposure = Equity investment + Intercompany loans + Receivables + Guarantees + Expected support. Exposure Ratio = Support Exposure ÷ Parent adjusted capital × 100.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73</w:t>
            </w:r>
          </w:p>
        </w:tc>
        <w:tc>
          <w:tcPr>
            <w:tcW w:w="3400" w:type="dxa"/>
          </w:tcPr>
          <w:p>
            <w:r>
              <w:rPr/>
              <w:t xml:space="preserve">Ultimate Beneficial Owner - Effective ultimate ownership</w:t>
            </w:r>
          </w:p>
        </w:tc>
        <w:tc>
          <w:tcPr>
            <w:tcW w:w="11200" w:type="dxa"/>
          </w:tcPr>
          <w:p>
            <w:r>
              <w:rPr/>
              <w:t xml:space="preserve">Effective Ownership % = Ownership percentage at Layer 1 × Layer 2 × remaining layers.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74</w:t>
            </w:r>
          </w:p>
        </w:tc>
        <w:tc>
          <w:tcPr>
            <w:tcW w:w="3400" w:type="dxa"/>
          </w:tcPr>
          <w:p>
            <w:r>
              <w:rPr/>
              <w:t xml:space="preserve">Ultimate Beneficial Owner - Voting and control rights</w:t>
            </w:r>
          </w:p>
        </w:tc>
        <w:tc>
          <w:tcPr>
            <w:tcW w:w="11200" w:type="dxa"/>
          </w:tcPr>
          <w:p>
            <w:r>
              <w:rPr/>
              <w:t xml:space="preserve">Control Coverage % = Voting rights controlled + equivalent board or reserved-matter control, converted to an approved 0 to 100 control measure. Use the strongest verified control right.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75</w:t>
            </w:r>
          </w:p>
        </w:tc>
        <w:tc>
          <w:tcPr>
            <w:tcW w:w="3400" w:type="dxa"/>
          </w:tcPr>
          <w:p>
            <w:r>
              <w:rPr/>
              <w:t xml:space="preserve">Ultimate Beneficial Owner - Ownership-path complexity</w:t>
            </w:r>
          </w:p>
        </w:tc>
        <w:tc>
          <w:tcPr>
            <w:tcW w:w="11200" w:type="dxa"/>
          </w:tcPr>
          <w:p>
            <w:r>
              <w:rPr/>
              <w:t xml:space="preserve">Complexity Index = Additional ownership layers + 2 × Nominee ÷ trust arrangements + 2 × Unverified entities + Higher-risk jurisdiction points.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76</w:t>
            </w:r>
          </w:p>
        </w:tc>
        <w:tc>
          <w:tcPr>
            <w:tcW w:w="3400" w:type="dxa"/>
          </w:tcPr>
          <w:p>
            <w:r>
              <w:rPr/>
              <w:t xml:space="preserve">Common Shareholder - Common shareholder holding</w:t>
            </w:r>
          </w:p>
        </w:tc>
        <w:tc>
          <w:tcPr>
            <w:tcW w:w="11200" w:type="dxa"/>
          </w:tcPr>
          <w:p>
            <w:r>
              <w:rPr/>
              <w:t xml:space="preserve">Common Holding % = Minimum of shareholder ownership in Entity A and shareholder ownership in Entity B.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77</w:t>
            </w:r>
          </w:p>
        </w:tc>
        <w:tc>
          <w:tcPr>
            <w:tcW w:w="3400" w:type="dxa"/>
          </w:tcPr>
          <w:p>
            <w:r>
              <w:rPr/>
              <w:t xml:space="preserve">Common Shareholder - Common control rights</w:t>
            </w:r>
          </w:p>
        </w:tc>
        <w:tc>
          <w:tcPr>
            <w:tcW w:w="11200" w:type="dxa"/>
          </w:tcPr>
          <w:p>
            <w:r>
              <w:rPr/>
              <w:t xml:space="preserve">Control Coverage % = Shared shareholder-controlled board seats or voting rights ÷ Relevant total seats or votes × 100.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78</w:t>
            </w:r>
          </w:p>
        </w:tc>
        <w:tc>
          <w:tcPr>
            <w:tcW w:w="3400" w:type="dxa"/>
          </w:tcPr>
          <w:p>
            <w:r>
              <w:rPr/>
              <w:t xml:space="preserve">Common Shareholder - Intercompany dependency</w:t>
            </w:r>
          </w:p>
        </w:tc>
        <w:tc>
          <w:tcPr>
            <w:tcW w:w="11200" w:type="dxa"/>
          </w:tcPr>
          <w:p>
            <w:r>
              <w:rPr/>
              <w:t xml:space="preserve">Dependency % = Transactions + Funding + Guarantees between linked entities ÷ Relevant revenue, funding, or debt total × 100.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79</w:t>
            </w:r>
          </w:p>
        </w:tc>
        <w:tc>
          <w:tcPr>
            <w:tcW w:w="3400" w:type="dxa"/>
          </w:tcPr>
          <w:p>
            <w:r>
              <w:rPr/>
              <w:t xml:space="preserve">Common Director / Officer - Board overlap</w:t>
            </w:r>
          </w:p>
        </w:tc>
        <w:tc>
          <w:tcPr>
            <w:tcW w:w="11200" w:type="dxa"/>
          </w:tcPr>
          <w:p>
            <w:r>
              <w:rPr/>
              <w:t xml:space="preserve">Board Overlap % = Number of shared directors ÷ Number of directors on the smaller board × 100.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80</w:t>
            </w:r>
          </w:p>
        </w:tc>
        <w:tc>
          <w:tcPr>
            <w:tcW w:w="3400" w:type="dxa"/>
          </w:tcPr>
          <w:p>
            <w:r>
              <w:rPr/>
              <w:t xml:space="preserve">Common Director / Officer - Decision authority</w:t>
            </w:r>
          </w:p>
        </w:tc>
        <w:tc>
          <w:tcPr>
            <w:tcW w:w="11200" w:type="dxa"/>
          </w:tcPr>
          <w:p>
            <w:r>
              <w:rPr/>
              <w:t xml:space="preserve">Decision Authority % = Critical decision areas controlled by shared persons ÷ Total defined critical decision areas × 100.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81</w:t>
            </w:r>
          </w:p>
        </w:tc>
        <w:tc>
          <w:tcPr>
            <w:tcW w:w="3400" w:type="dxa"/>
          </w:tcPr>
          <w:p>
            <w:r>
              <w:rPr/>
              <w:t xml:space="preserve">Common Director / Officer - Overlapping tenure</w:t>
            </w:r>
          </w:p>
        </w:tc>
        <w:tc>
          <w:tcPr>
            <w:tcW w:w="11200" w:type="dxa"/>
          </w:tcPr>
          <w:p>
            <w:r>
              <w:rPr/>
              <w:t xml:space="preserve">Overlap Tenure = Minimum active overlapping appointment period across the two entities.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82</w:t>
            </w:r>
          </w:p>
        </w:tc>
        <w:tc>
          <w:tcPr>
            <w:tcW w:w="3400" w:type="dxa"/>
          </w:tcPr>
          <w:p>
            <w:r>
              <w:rPr/>
              <w:t xml:space="preserve">Economic / Borrower / Regulatory Group - Formal group classification</w:t>
            </w:r>
          </w:p>
        </w:tc>
        <w:tc>
          <w:tcPr>
            <w:tcW w:w="11200" w:type="dxa"/>
          </w:tcPr>
          <w:p>
            <w:r>
              <w:rPr/>
              <w:t xml:space="preserve">Classification Rating = Approved rating mapped from the bank’s formal group type and grouping rationale.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83</w:t>
            </w:r>
          </w:p>
        </w:tc>
        <w:tc>
          <w:tcPr>
            <w:tcW w:w="3400" w:type="dxa"/>
          </w:tcPr>
          <w:p>
            <w:r>
              <w:rPr/>
              <w:t xml:space="preserve">Economic / Borrower / Regulatory Group - Group EAD concentration</w:t>
            </w:r>
          </w:p>
        </w:tc>
        <w:tc>
          <w:tcPr>
            <w:tcW w:w="11200" w:type="dxa"/>
          </w:tcPr>
          <w:p>
            <w:r>
              <w:rPr/>
              <w:t xml:space="preserve">Group EAD Concentration % = Connected Group EAD ÷ Relevant portfolio EAD × 100. A capital-based denominator may also be used under policy.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84</w:t>
            </w:r>
          </w:p>
        </w:tc>
        <w:tc>
          <w:tcPr>
            <w:tcW w:w="3400" w:type="dxa"/>
          </w:tcPr>
          <w:p>
            <w:r>
              <w:rPr/>
              <w:t xml:space="preserve">Economic / Borrower / Regulatory Group - Intra-group financial dependency</w:t>
            </w:r>
          </w:p>
        </w:tc>
        <w:tc>
          <w:tcPr>
            <w:tcW w:w="11200" w:type="dxa"/>
          </w:tcPr>
          <w:p>
            <w:r>
              <w:rPr/>
              <w:t xml:space="preserve">Dependency % = Intra-group funding + Guarantees + Cash-pool balances ÷ Group funding or debt × 100.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85</w:t>
            </w:r>
          </w:p>
        </w:tc>
        <w:tc>
          <w:tcPr>
            <w:tcW w:w="3400" w:type="dxa"/>
          </w:tcPr>
          <w:p>
            <w:r>
              <w:rPr/>
              <w:t xml:space="preserve">Guarantor Relationship - Guarantee coverage</w:t>
            </w:r>
          </w:p>
        </w:tc>
        <w:tc>
          <w:tcPr>
            <w:tcW w:w="11200" w:type="dxa"/>
          </w:tcPr>
          <w:p>
            <w:r>
              <w:rPr/>
              <w:t xml:space="preserve">Guarantee Coverage % = Enforceable guarantee amount ÷ Supported exposure × 100.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86</w:t>
            </w:r>
          </w:p>
        </w:tc>
        <w:tc>
          <w:tcPr>
            <w:tcW w:w="3400" w:type="dxa"/>
          </w:tcPr>
          <w:p>
            <w:r>
              <w:rPr/>
              <w:t xml:space="preserve">Guarantor Relationship - Guarantor burden</w:t>
            </w:r>
          </w:p>
        </w:tc>
        <w:tc>
          <w:tcPr>
            <w:tcW w:w="11200" w:type="dxa"/>
          </w:tcPr>
          <w:p>
            <w:r>
              <w:rPr/>
              <w:t xml:space="preserve">Guarantor Burden % = Total potential guarantee calls ÷ Guarantor adjusted capital × 100.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87</w:t>
            </w:r>
          </w:p>
        </w:tc>
        <w:tc>
          <w:tcPr>
            <w:tcW w:w="3400" w:type="dxa"/>
          </w:tcPr>
          <w:p>
            <w:r>
              <w:rPr/>
              <w:t xml:space="preserve">Guarantor Relationship - Borrower support dependency</w:t>
            </w:r>
          </w:p>
        </w:tc>
        <w:tc>
          <w:tcPr>
            <w:tcW w:w="11200" w:type="dxa"/>
          </w:tcPr>
          <w:p>
            <w:r>
              <w:rPr/>
              <w:t xml:space="preserve">Support Dependency % = Funding supported by guarantor ÷ Total borrower funding × 100.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88</w:t>
            </w:r>
          </w:p>
        </w:tc>
        <w:tc>
          <w:tcPr>
            <w:tcW w:w="3400" w:type="dxa"/>
          </w:tcPr>
          <w:p>
            <w:r>
              <w:rPr/>
              <w:t xml:space="preserve">Cross Guarantee - Cross-guarantee coverage</w:t>
            </w:r>
          </w:p>
        </w:tc>
        <w:tc>
          <w:tcPr>
            <w:tcW w:w="11200" w:type="dxa"/>
          </w:tcPr>
          <w:p>
            <w:r>
              <w:rPr/>
              <w:t xml:space="preserve">Coverage % = Cross-guaranteed obligations ÷ Combined entity debt × 100.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89</w:t>
            </w:r>
          </w:p>
        </w:tc>
        <w:tc>
          <w:tcPr>
            <w:tcW w:w="3400" w:type="dxa"/>
          </w:tcPr>
          <w:p>
            <w:r>
              <w:rPr/>
              <w:t xml:space="preserve">Cross Guarantee - Guarantee-chain complexity</w:t>
            </w:r>
          </w:p>
        </w:tc>
        <w:tc>
          <w:tcPr>
            <w:tcW w:w="11200" w:type="dxa"/>
          </w:tcPr>
          <w:p>
            <w:r>
              <w:rPr/>
              <w:t xml:space="preserve">Complexity Score = Number of guarantee links + 3 points for a circular guarantee + 2 points for each unresolved legal link.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90</w:t>
            </w:r>
          </w:p>
        </w:tc>
        <w:tc>
          <w:tcPr>
            <w:tcW w:w="3400" w:type="dxa"/>
          </w:tcPr>
          <w:p>
            <w:r>
              <w:rPr/>
              <w:t xml:space="preserve">Cross Guarantee - Joint guarantee burden</w:t>
            </w:r>
          </w:p>
        </w:tc>
        <w:tc>
          <w:tcPr>
            <w:tcW w:w="11200" w:type="dxa"/>
          </w:tcPr>
          <w:p>
            <w:r>
              <w:rPr/>
              <w:t xml:space="preserve">Joint Burden % = Potential calls across the guarantee network ÷ Combined adjusted capital of guarantors × 100.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91</w:t>
            </w:r>
          </w:p>
        </w:tc>
        <w:tc>
          <w:tcPr>
            <w:tcW w:w="3400" w:type="dxa"/>
          </w:tcPr>
          <w:p>
            <w:r>
              <w:rPr/>
              <w:t xml:space="preserve">Shared Collateral / Collateral Provider - Collateral utilisation</w:t>
            </w:r>
          </w:p>
        </w:tc>
        <w:tc>
          <w:tcPr>
            <w:tcW w:w="11200" w:type="dxa"/>
          </w:tcPr>
          <w:p>
            <w:r>
              <w:rPr/>
              <w:t xml:space="preserve">Collateral Utilisation % = Total secured claims ÷ Eligible collateral value after approved haircut × 100.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92</w:t>
            </w:r>
          </w:p>
        </w:tc>
        <w:tc>
          <w:tcPr>
            <w:tcW w:w="3400" w:type="dxa"/>
          </w:tcPr>
          <w:p>
            <w:r>
              <w:rPr/>
              <w:t xml:space="preserve">Shared Collateral / Collateral Provider - Shared-asset concentration</w:t>
            </w:r>
          </w:p>
        </w:tc>
        <w:tc>
          <w:tcPr>
            <w:tcW w:w="11200" w:type="dxa"/>
          </w:tcPr>
          <w:p>
            <w:r>
              <w:rPr/>
              <w:t xml:space="preserve">Concentration % = Largest shared asset value ÷ Total eligible collateral value × 100.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93</w:t>
            </w:r>
          </w:p>
        </w:tc>
        <w:tc>
          <w:tcPr>
            <w:tcW w:w="3400" w:type="dxa"/>
          </w:tcPr>
          <w:p>
            <w:r>
              <w:rPr/>
              <w:t xml:space="preserve">Shared Collateral / Collateral Provider - Collateral risk adjustment</w:t>
            </w:r>
          </w:p>
        </w:tc>
        <w:tc>
          <w:tcPr>
            <w:tcW w:w="11200" w:type="dxa"/>
          </w:tcPr>
          <w:p>
            <w:r>
              <w:rPr/>
              <w:t xml:space="preserve">Collateral Risk % = Approved market haircut + Valuation-age adjustment + Lien ÷ legal-priority adjustment.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94</w:t>
            </w:r>
          </w:p>
        </w:tc>
        <w:tc>
          <w:tcPr>
            <w:tcW w:w="3400" w:type="dxa"/>
          </w:tcPr>
          <w:p>
            <w:r>
              <w:rPr/>
              <w:t xml:space="preserve">Joint Venture / Affiliate - Ownership and control</w:t>
            </w:r>
          </w:p>
        </w:tc>
        <w:tc>
          <w:tcPr>
            <w:tcW w:w="11200" w:type="dxa"/>
          </w:tcPr>
          <w:p>
            <w:r>
              <w:rPr/>
              <w:t xml:space="preserve">JV Control % = Highest of ownership percentage, voting-right percentage, or board-control percentage.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95</w:t>
            </w:r>
          </w:p>
        </w:tc>
        <w:tc>
          <w:tcPr>
            <w:tcW w:w="3400" w:type="dxa"/>
          </w:tcPr>
          <w:p>
            <w:r>
              <w:rPr/>
              <w:t xml:space="preserve">Joint Venture / Affiliate - Capital commitment</w:t>
            </w:r>
          </w:p>
        </w:tc>
        <w:tc>
          <w:tcPr>
            <w:tcW w:w="11200" w:type="dxa"/>
          </w:tcPr>
          <w:p>
            <w:r>
              <w:rPr/>
              <w:t xml:space="preserve">Commitment Ratio % = Equity commitment + Shareholder loans + Guarantees ÷ Investor adjusted capital × 100.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96</w:t>
            </w:r>
          </w:p>
        </w:tc>
        <w:tc>
          <w:tcPr>
            <w:tcW w:w="3400" w:type="dxa"/>
          </w:tcPr>
          <w:p>
            <w:r>
              <w:rPr/>
              <w:t xml:space="preserve">Joint Venture / Affiliate - Strategic cash-flow dependency</w:t>
            </w:r>
          </w:p>
        </w:tc>
        <w:tc>
          <w:tcPr>
            <w:tcW w:w="11200" w:type="dxa"/>
          </w:tcPr>
          <w:p>
            <w:r>
              <w:rPr/>
              <w:t xml:space="preserve">Dependency % = Revenue, purchases, dividends, or off-take linked to JV ÷ Relevant entity total × 100.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97</w:t>
            </w:r>
          </w:p>
        </w:tc>
        <w:tc>
          <w:tcPr>
            <w:tcW w:w="3400" w:type="dxa"/>
          </w:tcPr>
          <w:p>
            <w:r>
              <w:rPr/>
              <w:t xml:space="preserve">Syndicated Facility Membership - Facility materiality</w:t>
            </w:r>
          </w:p>
        </w:tc>
        <w:tc>
          <w:tcPr>
            <w:tcW w:w="11200" w:type="dxa"/>
          </w:tcPr>
          <w:p>
            <w:r>
              <w:rPr/>
              <w:t xml:space="preserve">Facility Exposure = Drawn amount + Undrawn commitment × CCF. Facility Materiality % = Facility Exposure ÷ Total borrower debt × 100.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98</w:t>
            </w:r>
          </w:p>
        </w:tc>
        <w:tc>
          <w:tcPr>
            <w:tcW w:w="3400" w:type="dxa"/>
          </w:tcPr>
          <w:p>
            <w:r>
              <w:rPr/>
              <w:t xml:space="preserve">Syndicated Facility Membership - Covenant/default linkage</w:t>
            </w:r>
          </w:p>
        </w:tc>
        <w:tc>
          <w:tcPr>
            <w:tcW w:w="11200" w:type="dxa"/>
          </w:tcPr>
          <w:p>
            <w:r>
              <w:rPr/>
              <w:t xml:space="preserve">Default Linkage % = Debt subject to cross-default or acceleration ÷ Total borrower debt × 100.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99</w:t>
            </w:r>
          </w:p>
        </w:tc>
        <w:tc>
          <w:tcPr>
            <w:tcW w:w="3400" w:type="dxa"/>
          </w:tcPr>
          <w:p>
            <w:r>
              <w:rPr/>
              <w:t xml:space="preserve">Syndicated Facility Membership - Refinancing proximity</w:t>
            </w:r>
          </w:p>
        </w:tc>
        <w:tc>
          <w:tcPr>
            <w:tcW w:w="11200" w:type="dxa"/>
          </w:tcPr>
          <w:p>
            <w:r>
              <w:rPr/>
              <w:t xml:space="preserve">Months to Maturity = Facility maturity date minus calculation date, converted into months.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100</w:t>
            </w:r>
          </w:p>
        </w:tc>
        <w:tc>
          <w:tcPr>
            <w:tcW w:w="3400" w:type="dxa"/>
          </w:tcPr>
          <w:p>
            <w:r>
              <w:rPr/>
              <w:t xml:space="preserve">Branch / Head Office - Head-office funding dependency</w:t>
            </w:r>
          </w:p>
        </w:tc>
        <w:tc>
          <w:tcPr>
            <w:tcW w:w="11200" w:type="dxa"/>
          </w:tcPr>
          <w:p>
            <w:r>
              <w:rPr/>
              <w:t xml:space="preserve">Funding Dependency % = Net funding received from head office ÷ Branch total funding × 100.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101</w:t>
            </w:r>
          </w:p>
        </w:tc>
        <w:tc>
          <w:tcPr>
            <w:tcW w:w="3400" w:type="dxa"/>
          </w:tcPr>
          <w:p>
            <w:r>
              <w:rPr/>
              <w:t xml:space="preserve">Branch / Head Office - Branch financial materiality</w:t>
            </w:r>
          </w:p>
        </w:tc>
        <w:tc>
          <w:tcPr>
            <w:tcW w:w="11200" w:type="dxa"/>
          </w:tcPr>
          <w:p>
            <w:r>
              <w:rPr/>
              <w:t xml:space="preserve">Materiality % = 40% Branch Asset Share + 30% Branch Revenue Share + 30% Branch EAD Share.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102</w:t>
            </w:r>
          </w:p>
        </w:tc>
        <w:tc>
          <w:tcPr>
            <w:tcW w:w="3400" w:type="dxa"/>
          </w:tcPr>
          <w:p>
            <w:r>
              <w:rPr/>
              <w:t xml:space="preserve">Branch / Head Office - Jurisdiction and transfer risk</w:t>
            </w:r>
          </w:p>
        </w:tc>
        <w:tc>
          <w:tcPr>
            <w:tcW w:w="11200" w:type="dxa"/>
          </w:tcPr>
          <w:p>
            <w:r>
              <w:rPr/>
              <w:t xml:space="preserve">Jurisdiction Score = Approved country, transfer, convertibility, ring-fencing, and resolution-risk score normalized to 0 to 100.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103</w:t>
            </w:r>
          </w:p>
        </w:tc>
        <w:tc>
          <w:tcPr>
            <w:tcW w:w="3400" w:type="dxa"/>
          </w:tcPr>
          <w:p>
            <w:r>
              <w:rPr/>
              <w:t xml:space="preserve">Supplier Relationship - Purchase dependency</w:t>
            </w:r>
          </w:p>
        </w:tc>
        <w:tc>
          <w:tcPr>
            <w:tcW w:w="11200" w:type="dxa"/>
          </w:tcPr>
          <w:p>
            <w:r>
              <w:rPr/>
              <w:t xml:space="preserve">Purchase Dependency % = Purchases from supplier ÷ Total purchases × 100.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104</w:t>
            </w:r>
          </w:p>
        </w:tc>
        <w:tc>
          <w:tcPr>
            <w:tcW w:w="3400" w:type="dxa"/>
          </w:tcPr>
          <w:p>
            <w:r>
              <w:rPr/>
              <w:t xml:space="preserve">Supplier Relationship - Supplier replacement time</w:t>
            </w:r>
          </w:p>
        </w:tc>
        <w:tc>
          <w:tcPr>
            <w:tcW w:w="11200" w:type="dxa"/>
          </w:tcPr>
          <w:p>
            <w:r>
              <w:rPr/>
              <w:t xml:space="preserve">Replacement Time = Estimated months required to qualify, contract, and activate an alternative supplier.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105</w:t>
            </w:r>
          </w:p>
        </w:tc>
        <w:tc>
          <w:tcPr>
            <w:tcW w:w="3400" w:type="dxa"/>
          </w:tcPr>
          <w:p>
            <w:r>
              <w:rPr/>
              <w:t xml:space="preserve">Supplier Relationship - Production dependency</w:t>
            </w:r>
          </w:p>
        </w:tc>
        <w:tc>
          <w:tcPr>
            <w:tcW w:w="11200" w:type="dxa"/>
          </w:tcPr>
          <w:p>
            <w:r>
              <w:rPr/>
              <w:t xml:space="preserve">Production Dependency % = Output dependent on supplier input ÷ Total output × 100.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106</w:t>
            </w:r>
          </w:p>
        </w:tc>
        <w:tc>
          <w:tcPr>
            <w:tcW w:w="3400" w:type="dxa"/>
          </w:tcPr>
          <w:p>
            <w:r>
              <w:rPr/>
              <w:t xml:space="preserve">Customer / Off-taker Relationship - Revenue concentration</w:t>
            </w:r>
          </w:p>
        </w:tc>
        <w:tc>
          <w:tcPr>
            <w:tcW w:w="11200" w:type="dxa"/>
          </w:tcPr>
          <w:p>
            <w:r>
              <w:rPr/>
              <w:t xml:space="preserve">Revenue Concentration % = Revenue from customer ÷ Total revenue × 100.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107</w:t>
            </w:r>
          </w:p>
        </w:tc>
        <w:tc>
          <w:tcPr>
            <w:tcW w:w="3400" w:type="dxa"/>
          </w:tcPr>
          <w:p>
            <w:r>
              <w:rPr/>
              <w:t xml:space="preserve">Customer / Off-taker Relationship - Receivables concentration</w:t>
            </w:r>
          </w:p>
        </w:tc>
        <w:tc>
          <w:tcPr>
            <w:tcW w:w="11200" w:type="dxa"/>
          </w:tcPr>
          <w:p>
            <w:r>
              <w:rPr/>
              <w:t xml:space="preserve">Receivables Concentration % = Receivables from customer ÷ Total receivables × 100.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108</w:t>
            </w:r>
          </w:p>
        </w:tc>
        <w:tc>
          <w:tcPr>
            <w:tcW w:w="3400" w:type="dxa"/>
          </w:tcPr>
          <w:p>
            <w:r>
              <w:rPr/>
              <w:t xml:space="preserve">Customer / Off-taker Relationship - Overdue receivables</w:t>
            </w:r>
          </w:p>
        </w:tc>
        <w:tc>
          <w:tcPr>
            <w:tcW w:w="11200" w:type="dxa"/>
          </w:tcPr>
          <w:p>
            <w:r>
              <w:rPr/>
              <w:t xml:space="preserve">Overdue Ratio % = Customer receivables overdue beyond approved period ÷ Total receivables from customer × 100.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109</w:t>
            </w:r>
          </w:p>
        </w:tc>
        <w:tc>
          <w:tcPr>
            <w:tcW w:w="3400" w:type="dxa"/>
          </w:tcPr>
          <w:p>
            <w:r>
              <w:rPr/>
              <w:t xml:space="preserve">Multi-tier Supply Chain Network - Path dependency</w:t>
            </w:r>
          </w:p>
        </w:tc>
        <w:tc>
          <w:tcPr>
            <w:tcW w:w="11200" w:type="dxa"/>
          </w:tcPr>
          <w:p>
            <w:r>
              <w:rPr/>
              <w:t xml:space="preserve">Path Dependency % = Dependency at Edge 1 × Dependency at Edge 2 × remaining edge dependencies.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110</w:t>
            </w:r>
          </w:p>
        </w:tc>
        <w:tc>
          <w:tcPr>
            <w:tcW w:w="3400" w:type="dxa"/>
          </w:tcPr>
          <w:p>
            <w:r>
              <w:rPr/>
              <w:t xml:space="preserve">Multi-tier Supply Chain Network - Critical-node concentration</w:t>
            </w:r>
          </w:p>
        </w:tc>
        <w:tc>
          <w:tcPr>
            <w:tcW w:w="11200" w:type="dxa"/>
          </w:tcPr>
          <w:p>
            <w:r>
              <w:rPr/>
              <w:t xml:space="preserve">Node Concentration % = Critical supply paths passing through node ÷ Total identified critical paths × 100.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111</w:t>
            </w:r>
          </w:p>
        </w:tc>
        <w:tc>
          <w:tcPr>
            <w:tcW w:w="3400" w:type="dxa"/>
          </w:tcPr>
          <w:p>
            <w:r>
              <w:rPr/>
              <w:t xml:space="preserve">Multi-tier Supply Chain Network - Supply-path depth</w:t>
            </w:r>
          </w:p>
        </w:tc>
        <w:tc>
          <w:tcPr>
            <w:tcW w:w="11200" w:type="dxa"/>
          </w:tcPr>
          <w:p>
            <w:r>
              <w:rPr/>
              <w:t xml:space="preserve">Path Depth = Number of relationship edges in the shortest relevant supply path.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112</w:t>
            </w:r>
          </w:p>
        </w:tc>
        <w:tc>
          <w:tcPr>
            <w:tcW w:w="3400" w:type="dxa"/>
          </w:tcPr>
          <w:p>
            <w:r>
              <w:rPr/>
              <w:t xml:space="preserve">Shared Funding Source - Funding dependency</w:t>
            </w:r>
          </w:p>
        </w:tc>
        <w:tc>
          <w:tcPr>
            <w:tcW w:w="11200" w:type="dxa"/>
          </w:tcPr>
          <w:p>
            <w:r>
              <w:rPr/>
              <w:t xml:space="preserve">Funding Dependency % = Funding from shared provider or market ÷ Total funding × 100.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113</w:t>
            </w:r>
          </w:p>
        </w:tc>
        <w:tc>
          <w:tcPr>
            <w:tcW w:w="3400" w:type="dxa"/>
          </w:tcPr>
          <w:p>
            <w:r>
              <w:rPr/>
              <w:t xml:space="preserve">Shared Funding Source - Refinancing proximity</w:t>
            </w:r>
          </w:p>
        </w:tc>
        <w:tc>
          <w:tcPr>
            <w:tcW w:w="11200" w:type="dxa"/>
          </w:tcPr>
          <w:p>
            <w:r>
              <w:rPr/>
              <w:t xml:space="preserve">Months to Refinancing = Refinancing date minus calculation date, converted into months.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114</w:t>
            </w:r>
          </w:p>
        </w:tc>
        <w:tc>
          <w:tcPr>
            <w:tcW w:w="3400" w:type="dxa"/>
          </w:tcPr>
          <w:p>
            <w:r>
              <w:rPr/>
              <w:t xml:space="preserve">Shared Funding Source - Alternative funding coverage</w:t>
            </w:r>
          </w:p>
        </w:tc>
        <w:tc>
          <w:tcPr>
            <w:tcW w:w="11200" w:type="dxa"/>
          </w:tcPr>
          <w:p>
            <w:r>
              <w:rPr/>
              <w:t xml:space="preserve">Coverage % = Available alternative lines + Unrestricted liquidity ÷ Funding due within 12 months × 100.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115</w:t>
            </w:r>
          </w:p>
        </w:tc>
        <w:tc>
          <w:tcPr>
            <w:tcW w:w="3400" w:type="dxa"/>
          </w:tcPr>
          <w:p>
            <w:r>
              <w:rPr/>
              <w:t xml:space="preserve">Shared Equity Sponsor / Family Office - Sponsor ownership and control</w:t>
            </w:r>
          </w:p>
        </w:tc>
        <w:tc>
          <w:tcPr>
            <w:tcW w:w="11200" w:type="dxa"/>
          </w:tcPr>
          <w:p>
            <w:r>
              <w:rPr/>
              <w:t xml:space="preserve">Sponsor Control % = Highest ownership percentage, voting-right percentage, or board-control percentage.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116</w:t>
            </w:r>
          </w:p>
        </w:tc>
        <w:tc>
          <w:tcPr>
            <w:tcW w:w="3400" w:type="dxa"/>
          </w:tcPr>
          <w:p>
            <w:r>
              <w:rPr/>
              <w:t xml:space="preserve">Shared Equity Sponsor / Family Office - Sponsor funding dependency</w:t>
            </w:r>
          </w:p>
        </w:tc>
        <w:tc>
          <w:tcPr>
            <w:tcW w:w="11200" w:type="dxa"/>
          </w:tcPr>
          <w:p>
            <w:r>
              <w:rPr/>
              <w:t xml:space="preserve">Funding Dependency % = Sponsor equity + Shareholder loans + Sponsor guarantees ÷ Total entity funding × 100.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117</w:t>
            </w:r>
          </w:p>
        </w:tc>
        <w:tc>
          <w:tcPr>
            <w:tcW w:w="3400" w:type="dxa"/>
          </w:tcPr>
          <w:p>
            <w:r>
              <w:rPr/>
              <w:t xml:space="preserve">Shared Equity Sponsor / Family Office - Portfolio correlation</w:t>
            </w:r>
          </w:p>
        </w:tc>
        <w:tc>
          <w:tcPr>
            <w:tcW w:w="11200" w:type="dxa"/>
          </w:tcPr>
          <w:p>
            <w:r>
              <w:rPr/>
              <w:t xml:space="preserve">Portfolio Correlation % = Portfolio companies sharing the same primary sector, geography, or funding strategy ÷ Total relevant portfolio companies × 100.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118</w:t>
            </w:r>
          </w:p>
        </w:tc>
        <w:tc>
          <w:tcPr>
            <w:tcW w:w="3400" w:type="dxa"/>
          </w:tcPr>
          <w:p>
            <w:r>
              <w:rPr/>
              <w:t xml:space="preserve">Material Payment / Cash-flow Relationship - Payment-flow materiality</w:t>
            </w:r>
          </w:p>
        </w:tc>
        <w:tc>
          <w:tcPr>
            <w:tcW w:w="11200" w:type="dxa"/>
          </w:tcPr>
          <w:p>
            <w:r>
              <w:rPr/>
              <w:t xml:space="preserve">Flow Materiality % = Payment value with connected entity ÷ Total relevant inflows or outflows × 100.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119</w:t>
            </w:r>
          </w:p>
        </w:tc>
        <w:tc>
          <w:tcPr>
            <w:tcW w:w="3400" w:type="dxa"/>
          </w:tcPr>
          <w:p>
            <w:r>
              <w:rPr/>
              <w:t xml:space="preserve">Material Payment / Cash-flow Relationship - Payment persistence</w:t>
            </w:r>
          </w:p>
        </w:tc>
        <w:tc>
          <w:tcPr>
            <w:tcW w:w="11200" w:type="dxa"/>
          </w:tcPr>
          <w:p>
            <w:r>
              <w:rPr/>
              <w:t xml:space="preserve">Persistence % = Months with qualifying payment activity ÷ Months in observation window × 100.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120</w:t>
            </w:r>
          </w:p>
        </w:tc>
        <w:tc>
          <w:tcPr>
            <w:tcW w:w="3400" w:type="dxa"/>
          </w:tcPr>
          <w:p>
            <w:r>
              <w:rPr/>
              <w:t xml:space="preserve">Material Payment / Cash-flow Relationship - Payment-flow disruption</w:t>
            </w:r>
          </w:p>
        </w:tc>
        <w:tc>
          <w:tcPr>
            <w:tcW w:w="11200" w:type="dxa"/>
          </w:tcPr>
          <w:p>
            <w:r>
              <w:rPr/>
              <w:t xml:space="preserve">Flow Reduction % = Historical average flow minus current flow ÷ Historical average flow × 100.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121</w:t>
            </w:r>
          </w:p>
        </w:tc>
        <w:tc>
          <w:tcPr>
            <w:tcW w:w="3400" w:type="dxa"/>
          </w:tcPr>
          <w:p>
            <w:r>
              <w:rPr/>
              <w:t xml:space="preserve">Treasury Counterparty Relationship - Net exposure materiality</w:t>
            </w:r>
          </w:p>
        </w:tc>
        <w:tc>
          <w:tcPr>
            <w:tcW w:w="11200" w:type="dxa"/>
          </w:tcPr>
          <w:p>
            <w:r>
              <w:rPr/>
              <w:t xml:space="preserve">Net Exposure = Current Exposure + Potential Future Exposure − Eligible Collateral. Exposure Ratio % = Net Exposure ÷ Approved counterparty limit or capital measure × 100.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122</w:t>
            </w:r>
          </w:p>
        </w:tc>
        <w:tc>
          <w:tcPr>
            <w:tcW w:w="3400" w:type="dxa"/>
          </w:tcPr>
          <w:p>
            <w:r>
              <w:rPr/>
              <w:t xml:space="preserve">Treasury Counterparty Relationship - Wrong-way-risk ratio</w:t>
            </w:r>
          </w:p>
        </w:tc>
        <w:tc>
          <w:tcPr>
            <w:tcW w:w="11200" w:type="dxa"/>
          </w:tcPr>
          <w:p>
            <w:r>
              <w:rPr/>
              <w:t xml:space="preserve">Wrong-way Risk % = Exposure positively linked to the counterparty’s stress factors ÷ Total net exposure × 100.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123</w:t>
            </w:r>
          </w:p>
        </w:tc>
        <w:tc>
          <w:tcPr>
            <w:tcW w:w="3400" w:type="dxa"/>
          </w:tcPr>
          <w:p>
            <w:r>
              <w:rPr/>
              <w:t xml:space="preserve">Treasury Counterparty Relationship - Unsecured exposure</w:t>
            </w:r>
          </w:p>
        </w:tc>
        <w:tc>
          <w:tcPr>
            <w:tcW w:w="11200" w:type="dxa"/>
          </w:tcPr>
          <w:p>
            <w:r>
              <w:rPr/>
              <w:t xml:space="preserve">Unsecured Exposure % = Exposure not covered by enforceable netting or eligible collateral ÷ Gross exposure × 100.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124</w:t>
            </w:r>
          </w:p>
        </w:tc>
        <w:tc>
          <w:tcPr>
            <w:tcW w:w="3400" w:type="dxa"/>
          </w:tcPr>
          <w:p>
            <w:r>
              <w:rPr/>
              <w:t xml:space="preserve">Common Outsourcing / Technology Provider - Critical workload dependency</w:t>
            </w:r>
          </w:p>
        </w:tc>
        <w:tc>
          <w:tcPr>
            <w:tcW w:w="11200" w:type="dxa"/>
          </w:tcPr>
          <w:p>
            <w:r>
              <w:rPr/>
              <w:t xml:space="preserve">Workload Dependency % = Critical business operations supported by provider ÷ Total critical operations × 100.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125</w:t>
            </w:r>
          </w:p>
        </w:tc>
        <w:tc>
          <w:tcPr>
            <w:tcW w:w="3400" w:type="dxa"/>
          </w:tcPr>
          <w:p>
            <w:r>
              <w:rPr/>
              <w:t xml:space="preserve">Common Outsourcing / Technology Provider - Provider replacement time</w:t>
            </w:r>
          </w:p>
        </w:tc>
        <w:tc>
          <w:tcPr>
            <w:tcW w:w="11200" w:type="dxa"/>
          </w:tcPr>
          <w:p>
            <w:r>
              <w:rPr/>
              <w:t xml:space="preserve">Replacement Time = Estimated months required to contract, migrate, test, and activate an approved alternative.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126</w:t>
            </w:r>
          </w:p>
        </w:tc>
        <w:tc>
          <w:tcPr>
            <w:tcW w:w="3400" w:type="dxa"/>
          </w:tcPr>
          <w:p>
            <w:r>
              <w:rPr/>
              <w:t xml:space="preserve">Common Outsourcing / Technology Provider - Critical service failure rate</w:t>
            </w:r>
          </w:p>
        </w:tc>
        <w:tc>
          <w:tcPr>
            <w:tcW w:w="11200" w:type="dxa"/>
          </w:tcPr>
          <w:p>
            <w:r>
              <w:rPr/>
              <w:t xml:space="preserve">Failure Rate % = Critical SLA(Service Level Agreement) failures ÷ Total measured critical SLA obligations × 100.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127</w:t>
            </w:r>
          </w:p>
        </w:tc>
        <w:tc>
          <w:tcPr>
            <w:tcW w:w="3400" w:type="dxa"/>
          </w:tcPr>
          <w:p>
            <w:r>
              <w:rPr/>
              <w:t xml:space="preserve">Common Insurer / Credit Protection Provider - Coverage dependency</w:t>
            </w:r>
          </w:p>
        </w:tc>
        <w:tc>
          <w:tcPr>
            <w:tcW w:w="11200" w:type="dxa"/>
          </w:tcPr>
          <w:p>
            <w:r>
              <w:rPr/>
              <w:t xml:space="preserve">Coverage Dependency % = Protected exposure ÷ Gross exposure × 100.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128</w:t>
            </w:r>
          </w:p>
        </w:tc>
        <w:tc>
          <w:tcPr>
            <w:tcW w:w="3400" w:type="dxa"/>
          </w:tcPr>
          <w:p>
            <w:r>
              <w:rPr/>
              <w:t xml:space="preserve">Common Insurer / Credit Protection Provider - Provider capacity burden</w:t>
            </w:r>
          </w:p>
        </w:tc>
        <w:tc>
          <w:tcPr>
            <w:tcW w:w="11200" w:type="dxa"/>
          </w:tcPr>
          <w:p>
            <w:r>
              <w:rPr/>
              <w:t xml:space="preserve">Capacity Burden % = Estimated correlated claims ÷ Provider available claims-paying capacity × 100.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129</w:t>
            </w:r>
          </w:p>
        </w:tc>
        <w:tc>
          <w:tcPr>
            <w:tcW w:w="3400" w:type="dxa"/>
          </w:tcPr>
          <w:p>
            <w:r>
              <w:rPr/>
              <w:t xml:space="preserve">Common Insurer / Credit Protection Provider - Policy-expiry proximity</w:t>
            </w:r>
          </w:p>
        </w:tc>
        <w:tc>
          <w:tcPr>
            <w:tcW w:w="11200" w:type="dxa"/>
          </w:tcPr>
          <w:p>
            <w:r>
              <w:rPr/>
              <w:t xml:space="preserve">Months to Expiry = Policy expiry date minus calculation date, converted into months.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130</w:t>
            </w:r>
          </w:p>
        </w:tc>
        <w:tc>
          <w:tcPr>
            <w:tcW w:w="3400" w:type="dxa"/>
          </w:tcPr>
          <w:p>
            <w:r>
              <w:rPr/>
              <w:t xml:space="preserve">Industry Ecosystem - Sector concentration</w:t>
            </w:r>
          </w:p>
        </w:tc>
        <w:tc>
          <w:tcPr>
            <w:tcW w:w="11200" w:type="dxa"/>
          </w:tcPr>
          <w:p>
            <w:r>
              <w:rPr/>
              <w:t xml:space="preserve">Sector Concentration % = Revenue or EBITDA from sector ÷ Total revenue or EBITDA × 100.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131</w:t>
            </w:r>
          </w:p>
        </w:tc>
        <w:tc>
          <w:tcPr>
            <w:tcW w:w="3400" w:type="dxa"/>
          </w:tcPr>
          <w:p>
            <w:r>
              <w:rPr/>
              <w:t xml:space="preserve">Industry Ecosystem - Sector demand decline</w:t>
            </w:r>
          </w:p>
        </w:tc>
        <w:tc>
          <w:tcPr>
            <w:tcW w:w="11200" w:type="dxa"/>
          </w:tcPr>
          <w:p>
            <w:r>
              <w:rPr/>
              <w:t xml:space="preserve">Demand Decline % = Historical sector demand minus current sector demand ÷ Historical sector demand × 100.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132</w:t>
            </w:r>
          </w:p>
        </w:tc>
        <w:tc>
          <w:tcPr>
            <w:tcW w:w="3400" w:type="dxa"/>
          </w:tcPr>
          <w:p>
            <w:r>
              <w:rPr/>
              <w:t xml:space="preserve">Industry Ecosystem - Entity resilience coverage</w:t>
            </w:r>
          </w:p>
        </w:tc>
        <w:tc>
          <w:tcPr>
            <w:tcW w:w="11200" w:type="dxa"/>
          </w:tcPr>
          <w:p>
            <w:r>
              <w:rPr/>
              <w:t xml:space="preserve">Resilience Coverage % = Unrestricted liquidity + Available committed lines ÷ Stressed 12-month cash requirement × 100.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133</w:t>
            </w:r>
          </w:p>
        </w:tc>
        <w:tc>
          <w:tcPr>
            <w:tcW w:w="3400" w:type="dxa"/>
          </w:tcPr>
          <w:p>
            <w:r>
              <w:rPr/>
              <w:t xml:space="preserve">Geographic Dependency - Geographic concentration</w:t>
            </w:r>
          </w:p>
        </w:tc>
        <w:tc>
          <w:tcPr>
            <w:tcW w:w="11200" w:type="dxa"/>
          </w:tcPr>
          <w:p>
            <w:r>
              <w:rPr/>
              <w:t xml:space="preserve">Geographic Concentration % = 40% Revenue Share + 30% Asset Share + 30% Supplier or Operational Share in the geography.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134</w:t>
            </w:r>
          </w:p>
        </w:tc>
        <w:tc>
          <w:tcPr>
            <w:tcW w:w="3400" w:type="dxa"/>
          </w:tcPr>
          <w:p>
            <w:r>
              <w:rPr/>
              <w:t xml:space="preserve">Geographic Dependency - Country-risk score</w:t>
            </w:r>
          </w:p>
        </w:tc>
        <w:tc>
          <w:tcPr>
            <w:tcW w:w="11200" w:type="dxa"/>
          </w:tcPr>
          <w:p>
            <w:r>
              <w:rPr/>
              <w:t xml:space="preserve">Country Risk Score = Approved sovereign, macroeconomic, transfer, political, climate, and security risk score normalized to 0 to 100.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135</w:t>
            </w:r>
          </w:p>
        </w:tc>
        <w:tc>
          <w:tcPr>
            <w:tcW w:w="3400" w:type="dxa"/>
          </w:tcPr>
          <w:p>
            <w:r>
              <w:rPr/>
              <w:t xml:space="preserve">Geographic Dependency - Unmitigated geographic exposure</w:t>
            </w:r>
          </w:p>
        </w:tc>
        <w:tc>
          <w:tcPr>
            <w:tcW w:w="11200" w:type="dxa"/>
          </w:tcPr>
          <w:p>
            <w:r>
              <w:rPr/>
              <w:t xml:space="preserve">Unmitigated Exposure % = Exposure not covered by insurance, hedging, or alternative operations ÷ Total geographic exposure × 100.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136</w:t>
            </w:r>
          </w:p>
        </w:tc>
        <w:tc>
          <w:tcPr>
            <w:tcW w:w="3400" w:type="dxa"/>
          </w:tcPr>
          <w:p>
            <w:r>
              <w:rPr/>
              <w:t xml:space="preserve">Shared Port / Route / Carrier Dependency - Shipment concentration</w:t>
            </w:r>
          </w:p>
        </w:tc>
        <w:tc>
          <w:tcPr>
            <w:tcW w:w="11200" w:type="dxa"/>
          </w:tcPr>
          <w:p>
            <w:r>
              <w:rPr/>
              <w:t xml:space="preserve">Shipment Concentration % = Shipment volume or value through shared node ÷ Total shipment volume or value × 100.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137</w:t>
            </w:r>
          </w:p>
        </w:tc>
        <w:tc>
          <w:tcPr>
            <w:tcW w:w="3400" w:type="dxa"/>
          </w:tcPr>
          <w:p>
            <w:r>
              <w:rPr/>
              <w:t xml:space="preserve">Shared Port / Route / Carrier Dependency - Diversion coverage</w:t>
            </w:r>
          </w:p>
        </w:tc>
        <w:tc>
          <w:tcPr>
            <w:tcW w:w="11200" w:type="dxa"/>
          </w:tcPr>
          <w:p>
            <w:r>
              <w:rPr/>
              <w:t xml:space="preserve">Diversion Coverage % = Available alternative route capacity ÷ Volume dependent on shared node × 100.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138</w:t>
            </w:r>
          </w:p>
        </w:tc>
        <w:tc>
          <w:tcPr>
            <w:tcW w:w="3400" w:type="dxa"/>
          </w:tcPr>
          <w:p>
            <w:r>
              <w:rPr/>
              <w:t xml:space="preserve">Shared Port / Route / Carrier Dependency - Inventory buffer</w:t>
            </w:r>
          </w:p>
        </w:tc>
        <w:tc>
          <w:tcPr>
            <w:tcW w:w="11200" w:type="dxa"/>
          </w:tcPr>
          <w:p>
            <w:r>
              <w:rPr/>
              <w:t xml:space="preserve">Inventory Buffer Ratio = Inventory days available ÷ Expected disruption days.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139</w:t>
            </w:r>
          </w:p>
        </w:tc>
        <w:tc>
          <w:tcPr>
            <w:tcW w:w="3400" w:type="dxa"/>
          </w:tcPr>
          <w:p>
            <w:r>
              <w:rPr/>
              <w:t xml:space="preserve">Energy / Commodity Dependency - Commodity dependency</w:t>
            </w:r>
          </w:p>
        </w:tc>
        <w:tc>
          <w:tcPr>
            <w:tcW w:w="11200" w:type="dxa"/>
          </w:tcPr>
          <w:p>
            <w:r>
              <w:rPr/>
              <w:t xml:space="preserve">Commodity Dependency % = Commodity-related cost or revenue ÷ Total cost or revenue × 100.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140</w:t>
            </w:r>
          </w:p>
        </w:tc>
        <w:tc>
          <w:tcPr>
            <w:tcW w:w="3400" w:type="dxa"/>
          </w:tcPr>
          <w:p>
            <w:r>
              <w:rPr/>
              <w:t xml:space="preserve">Energy / Commodity Dependency - Price-shock impact</w:t>
            </w:r>
          </w:p>
        </w:tc>
        <w:tc>
          <w:tcPr>
            <w:tcW w:w="11200" w:type="dxa"/>
          </w:tcPr>
          <w:p>
            <w:r>
              <w:rPr/>
              <w:t xml:space="preserve">Price-shock Impact % = Absolute stressed EBITDA reduction ÷ Base EBITDA × 100.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141</w:t>
            </w:r>
          </w:p>
        </w:tc>
        <w:tc>
          <w:tcPr>
            <w:tcW w:w="3400" w:type="dxa"/>
          </w:tcPr>
          <w:p>
            <w:r>
              <w:rPr/>
              <w:t xml:space="preserve">Energy / Commodity Dependency - Unhedged exposure</w:t>
            </w:r>
          </w:p>
        </w:tc>
        <w:tc>
          <w:tcPr>
            <w:tcW w:w="11200" w:type="dxa"/>
          </w:tcPr>
          <w:p>
            <w:r>
              <w:rPr/>
              <w:t xml:space="preserve">Unhedged Exposure % = Commodity volume or value not effectively hedged ÷ Total commodity exposure × 100.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142</w:t>
            </w:r>
          </w:p>
        </w:tc>
        <w:tc>
          <w:tcPr>
            <w:tcW w:w="3400" w:type="dxa"/>
          </w:tcPr>
          <w:p>
            <w:r>
              <w:rPr/>
              <w:t xml:space="preserve">Joint Commercial Contract / Consortium - Contract or project materiality</w:t>
            </w:r>
          </w:p>
        </w:tc>
        <w:tc>
          <w:tcPr>
            <w:tcW w:w="11200" w:type="dxa"/>
          </w:tcPr>
          <w:p>
            <w:r>
              <w:rPr/>
              <w:t xml:space="preserve">Contract Materiality % = Contract revenue, project value, or committed capital ÷ Entity annual revenue or adjusted capital × 100.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143</w:t>
            </w:r>
          </w:p>
        </w:tc>
        <w:tc>
          <w:tcPr>
            <w:tcW w:w="3400" w:type="dxa"/>
          </w:tcPr>
          <w:p>
            <w:r>
              <w:rPr/>
              <w:t xml:space="preserve">Joint Commercial Contract / Consortium - Shared-liability ratio</w:t>
            </w:r>
          </w:p>
        </w:tc>
        <w:tc>
          <w:tcPr>
            <w:tcW w:w="11200" w:type="dxa"/>
          </w:tcPr>
          <w:p>
            <w:r>
              <w:rPr/>
              <w:t xml:space="preserve">Shared Liability % = Joint, guaranteed, or cross-default liability ÷ Total entity project exposure × 100.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144</w:t>
            </w:r>
          </w:p>
        </w:tc>
        <w:tc>
          <w:tcPr>
            <w:tcW w:w="3400" w:type="dxa"/>
          </w:tcPr>
          <w:p>
            <w:r>
              <w:rPr/>
              <w:t xml:space="preserve">Joint Commercial Contract / Consortium - Project-delay ratio</w:t>
            </w:r>
          </w:p>
        </w:tc>
        <w:tc>
          <w:tcPr>
            <w:tcW w:w="11200" w:type="dxa"/>
          </w:tcPr>
          <w:p>
            <w:r>
              <w:rPr/>
              <w:t xml:space="preserve">Project Delay % = Actual or forecast delayed days ÷ Original project duration days × 100.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145</w:t>
            </w:r>
          </w:p>
        </w:tc>
        <w:tc>
          <w:tcPr>
            <w:tcW w:w="3400" w:type="dxa"/>
          </w:tcPr>
          <w:p>
            <w:r>
              <w:rPr/>
              <w:t xml:space="preserve">Parent/subsidiary ownership and control</w:t>
            </w:r>
          </w:p>
        </w:tc>
        <w:tc>
          <w:tcPr>
            <w:tcW w:w="11200" w:type="dxa"/>
          </w:tcPr>
          <w:p>
            <w:r>
              <w:rPr/>
              <w:t xml:space="preserve">max(Parent shares ÷ Subsidiary shares × 100, Parent votes ÷ Total votes × 100)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146</w:t>
            </w:r>
          </w:p>
        </w:tc>
        <w:tc>
          <w:tcPr>
            <w:tcW w:w="3400" w:type="dxa"/>
          </w:tcPr>
          <w:p>
            <w:r>
              <w:rPr/>
              <w:t xml:space="preserve">Subsidiary financial materiality</w:t>
            </w:r>
          </w:p>
        </w:tc>
        <w:tc>
          <w:tcPr>
            <w:tcW w:w="11200" w:type="dxa"/>
          </w:tcPr>
          <w:p>
            <w:r>
              <w:rPr/>
              <w:t xml:space="preserve">0.40 × Subsidiary revenue ÷ Group revenue × 100 + 0.30 × Subsidiary assets ÷ Group assets × 100 + 0.30 × Subsidiary EBITDA ÷ Group EBITDA × 100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147</w:t>
            </w:r>
          </w:p>
        </w:tc>
        <w:tc>
          <w:tcPr>
            <w:tcW w:w="3400" w:type="dxa"/>
          </w:tcPr>
          <w:p>
            <w:r>
              <w:rPr/>
              <w:t xml:space="preserve">Parent exposure and support</w:t>
            </w:r>
          </w:p>
        </w:tc>
        <w:tc>
          <w:tcPr>
            <w:tcW w:w="11200" w:type="dxa"/>
          </w:tcPr>
          <w:p>
            <w:r>
              <w:rPr/>
              <w:t xml:space="preserve">(Equity investment + Intercompany loans + Intercompany receivables + Guarantees + Undrawn support + Expected recapitalization) ÷ Parent adjusted capital × 100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148</w:t>
            </w:r>
          </w:p>
        </w:tc>
        <w:tc>
          <w:tcPr>
            <w:tcW w:w="3400" w:type="dxa"/>
          </w:tcPr>
          <w:p>
            <w:r>
              <w:rPr/>
              <w:t xml:space="preserve">Demo collateral market value</w:t>
            </w:r>
          </w:p>
        </w:tc>
        <w:tc>
          <w:tcPr>
            <w:tcW w:w="11200" w:type="dxa"/>
          </w:tcPr>
          <w:p>
            <w:r>
              <w:rPr/>
              <w:t xml:space="preserve">Supplied eligible collateral ÷ (1 − Haircut)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149</w:t>
            </w:r>
          </w:p>
        </w:tc>
        <w:tc>
          <w:tcPr>
            <w:tcW w:w="3400" w:type="dxa"/>
          </w:tcPr>
          <w:p>
            <w:r>
              <w:rPr/>
              <w:t xml:space="preserve">Demo default approved limit</w:t>
            </w:r>
          </w:p>
        </w:tc>
        <w:tc>
          <w:tcPr>
            <w:tcW w:w="11200" w:type="dxa"/>
          </w:tcPr>
          <w:p>
            <w:r>
              <w:rPr/>
              <w:t xml:space="preserve">max(1.50 × EAD, 1)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150</w:t>
            </w:r>
          </w:p>
        </w:tc>
        <w:tc>
          <w:tcPr>
            <w:tcW w:w="3400" w:type="dxa"/>
          </w:tcPr>
          <w:p>
            <w:r>
              <w:rPr/>
              <w:t xml:space="preserve">Demo interest cover</w:t>
            </w:r>
          </w:p>
        </w:tc>
        <w:tc>
          <w:tcPr>
            <w:tcW w:w="11200" w:type="dxa"/>
          </w:tcPr>
          <w:p>
            <w:r>
              <w:rPr/>
              <w:t xml:space="preserve">min(5, EBITDA ÷ (0.10 × Debt))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151</w:t>
            </w:r>
          </w:p>
        </w:tc>
        <w:tc>
          <w:tcPr>
            <w:tcW w:w="3400" w:type="dxa"/>
          </w:tcPr>
          <w:p>
            <w:r>
              <w:rPr/>
              <w:t xml:space="preserve">Demo covenant headroom</w:t>
            </w:r>
          </w:p>
        </w:tc>
        <w:tc>
          <w:tcPr>
            <w:tcW w:w="11200" w:type="dxa"/>
          </w:tcPr>
          <w:p>
            <w:r>
              <w:rPr/>
              <w:t xml:space="preserve">clip((Assets − Liabilities) ÷ Assets × 30) ÷ 100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152</w:t>
            </w:r>
          </w:p>
        </w:tc>
        <w:tc>
          <w:tcPr>
            <w:tcW w:w="3400" w:type="dxa"/>
          </w:tcPr>
          <w:p>
            <w:r>
              <w:rPr/>
              <w:t xml:space="preserve">Demo short-term debt</w:t>
            </w:r>
          </w:p>
        </w:tc>
        <w:tc>
          <w:tcPr>
            <w:tcW w:w="11200" w:type="dxa"/>
          </w:tcPr>
          <w:p>
            <w:r>
              <w:rPr/>
              <w:t xml:space="preserve">0.35 × Debt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153</w:t>
            </w:r>
          </w:p>
        </w:tc>
        <w:tc>
          <w:tcPr>
            <w:tcW w:w="3400" w:type="dxa"/>
          </w:tcPr>
          <w:p>
            <w:r>
              <w:rPr/>
              <w:t xml:space="preserve">Demo incident index</w:t>
            </w:r>
          </w:p>
        </w:tc>
        <w:tc>
          <w:tcPr>
            <w:tcW w:w="11200" w:type="dxa"/>
          </w:tcPr>
          <w:p>
            <w:r>
              <w:rPr/>
              <w:t xml:space="preserve">min(100, 20 × Operational-event count)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154</w:t>
            </w:r>
          </w:p>
        </w:tc>
        <w:tc>
          <w:tcPr>
            <w:tcW w:w="3400" w:type="dxa"/>
          </w:tcPr>
          <w:p>
            <w:r>
              <w:rPr/>
              <w:t xml:space="preserve">Demo ownership complexity</w:t>
            </w:r>
          </w:p>
        </w:tc>
        <w:tc>
          <w:tcPr>
            <w:tcW w:w="11200" w:type="dxa"/>
          </w:tcPr>
          <w:p>
            <w:r>
              <w:rPr/>
              <w:t xml:space="preserve">min(100, 5 × Relationship count)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155</w:t>
            </w:r>
          </w:p>
        </w:tc>
        <w:tc>
          <w:tcPr>
            <w:tcW w:w="3400" w:type="dxa"/>
          </w:tcPr>
          <w:p>
            <w:r>
              <w:rPr/>
              <w:t xml:space="preserve">Demo open-case index</w:t>
            </w:r>
          </w:p>
        </w:tc>
        <w:tc>
          <w:tcPr>
            <w:tcW w:w="11200" w:type="dxa"/>
          </w:tcPr>
          <w:p>
            <w:r>
              <w:rPr/>
              <w:t xml:space="preserve">min(100, 25 × Legal-event count)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156</w:t>
            </w:r>
          </w:p>
        </w:tc>
        <w:tc>
          <w:tcPr>
            <w:tcW w:w="3400" w:type="dxa"/>
          </w:tcPr>
          <w:p>
            <w:r>
              <w:rPr/>
              <w:t xml:space="preserve">Demo connected exposure</w:t>
            </w:r>
          </w:p>
        </w:tc>
        <w:tc>
          <w:tcPr>
            <w:tcW w:w="11200" w:type="dxa"/>
          </w:tcPr>
          <w:p>
            <w:r>
              <w:rPr/>
              <w:t xml:space="preserve">Sum(Linked relationship exposure amounts)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157</w:t>
            </w:r>
          </w:p>
        </w:tc>
        <w:tc>
          <w:tcPr>
            <w:tcW w:w="3400" w:type="dxa"/>
          </w:tcPr>
          <w:p>
            <w:r>
              <w:rPr/>
              <w:t xml:space="preserve">Demo dependency score</w:t>
            </w:r>
          </w:p>
        </w:tc>
        <w:tc>
          <w:tcPr>
            <w:tcW w:w="11200" w:type="dxa"/>
          </w:tcPr>
          <w:p>
            <w:r>
              <w:rPr/>
              <w:t xml:space="preserve">round(100 × max(0, Linked dependency fractions))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158</w:t>
            </w:r>
          </w:p>
        </w:tc>
        <w:tc>
          <w:tcPr>
            <w:tcW w:w="3400" w:type="dxa"/>
          </w:tcPr>
          <w:p>
            <w:r>
              <w:rPr/>
              <w:t xml:space="preserve">Demo owner share</w:t>
            </w:r>
          </w:p>
        </w:tc>
        <w:tc>
          <w:tcPr>
            <w:tcW w:w="11200" w:type="dxa"/>
          </w:tcPr>
          <w:p>
            <w:r>
              <w:rPr/>
              <w:t xml:space="preserve">round(100 × max(0, Ownership-link strength fractions))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159</w:t>
            </w:r>
          </w:p>
        </w:tc>
        <w:tc>
          <w:tcPr>
            <w:tcW w:w="3400" w:type="dxa"/>
          </w:tcPr>
          <w:p>
            <w:r>
              <w:rPr/>
              <w:t xml:space="preserve">Demo supplier dependency share</w:t>
            </w:r>
          </w:p>
        </w:tc>
        <w:tc>
          <w:tcPr>
            <w:tcW w:w="11200" w:type="dxa"/>
          </w:tcPr>
          <w:p>
            <w:r>
              <w:rPr/>
              <w:t xml:space="preserve">round(100 × max(0, Supplier-link dependency fractions))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160</w:t>
            </w:r>
          </w:p>
        </w:tc>
        <w:tc>
          <w:tcPr>
            <w:tcW w:w="3400" w:type="dxa"/>
          </w:tcPr>
          <w:p>
            <w:r>
              <w:rPr/>
              <w:t xml:space="preserve">Demo customer dependency share</w:t>
            </w:r>
          </w:p>
        </w:tc>
        <w:tc>
          <w:tcPr>
            <w:tcW w:w="11200" w:type="dxa"/>
          </w:tcPr>
          <w:p>
            <w:r>
              <w:rPr/>
              <w:t xml:space="preserve">round(100 × max(0, Customer-link dependency fractions))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161</w:t>
            </w:r>
          </w:p>
        </w:tc>
        <w:tc>
          <w:tcPr>
            <w:tcW w:w="3400" w:type="dxa"/>
          </w:tcPr>
          <w:p>
            <w:r>
              <w:rPr/>
              <w:t xml:space="preserve">Manufactured allocation</w:t>
            </w:r>
          </w:p>
        </w:tc>
        <w:tc>
          <w:tcPr>
            <w:tcW w:w="11200" w:type="dxa"/>
          </w:tcPr>
          <w:p>
            <w:r>
              <w:rPr/>
              <w:t xml:space="preserve">round(Total × Allocation weight ÷ Sum(Allocation weights), 2)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162</w:t>
            </w:r>
          </w:p>
        </w:tc>
        <w:tc>
          <w:tcPr>
            <w:tcW w:w="3400" w:type="dxa"/>
          </w:tcPr>
          <w:p>
            <w:r>
              <w:rPr/>
              <w:t xml:space="preserve">Manufactured final allocation</w:t>
            </w:r>
          </w:p>
        </w:tc>
        <w:tc>
          <w:tcPr>
            <w:tcW w:w="11200" w:type="dxa"/>
          </w:tcPr>
          <w:p>
            <w:r>
              <w:rPr/>
              <w:t xml:space="preserve">round(Total − Sum(Previous allocations), 2)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163</w:t>
            </w:r>
          </w:p>
        </w:tc>
        <w:tc>
          <w:tcPr>
            <w:tcW w:w="3400" w:type="dxa"/>
          </w:tcPr>
          <w:p>
            <w:r>
              <w:rPr/>
              <w:t xml:space="preserve">Funded</w:t>
            </w:r>
          </w:p>
        </w:tc>
        <w:tc>
          <w:tcPr>
            <w:tcW w:w="11200" w:type="dxa"/>
          </w:tcPr>
          <w:p>
            <w:r>
              <w:rPr/>
              <w:t xml:space="preserve">Sum(First two product allocations)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164</w:t>
            </w:r>
          </w:p>
        </w:tc>
        <w:tc>
          <w:tcPr>
            <w:tcW w:w="3400" w:type="dxa"/>
          </w:tcPr>
          <w:p>
            <w:r>
              <w:rPr/>
              <w:t xml:space="preserve">Unfunded</w:t>
            </w:r>
          </w:p>
        </w:tc>
        <w:tc>
          <w:tcPr>
            <w:tcW w:w="11200" w:type="dxa"/>
          </w:tcPr>
          <w:p>
            <w:r>
              <w:rPr/>
              <w:t xml:space="preserve">EAD − Funded exposure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165</w:t>
            </w:r>
          </w:p>
        </w:tc>
        <w:tc>
          <w:tcPr>
            <w:tcW w:w="3400" w:type="dxa"/>
          </w:tcPr>
          <w:p>
            <w:r>
              <w:rPr/>
              <w:t xml:space="preserve">Prior synthetic snapshot value</w:t>
            </w:r>
          </w:p>
        </w:tc>
        <w:tc>
          <w:tcPr>
            <w:tcW w:w="11200" w:type="dxa"/>
          </w:tcPr>
          <w:p>
            <w:r>
              <w:rPr/>
              <w:t xml:space="preserve">round(max(0, Current value × Random multiplier), 4)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166</w:t>
            </w:r>
          </w:p>
        </w:tc>
        <w:tc>
          <w:tcPr>
            <w:tcW w:w="3400" w:type="dxa"/>
          </w:tcPr>
          <w:p>
            <w:r>
              <w:rPr/>
              <w:t xml:space="preserve">Prior synthetic snapshot date</w:t>
            </w:r>
          </w:p>
        </w:tc>
        <w:tc>
          <w:tcPr>
            <w:tcW w:w="11200" w:type="dxa"/>
          </w:tcPr>
          <w:p>
            <w:r>
              <w:rPr/>
              <w:t xml:space="preserve">Generation date − 90 days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167</w:t>
            </w:r>
          </w:p>
        </w:tc>
        <w:tc>
          <w:tcPr>
            <w:tcW w:w="3400" w:type="dxa"/>
          </w:tcPr>
          <w:p>
            <w:r>
              <w:rPr/>
              <w:t xml:space="preserve">Data-quality score</w:t>
            </w:r>
          </w:p>
        </w:tc>
        <w:tc>
          <w:tcPr>
            <w:tcW w:w="11200" w:type="dxa"/>
          </w:tcPr>
          <w:p>
            <w:r>
              <w:rPr/>
              <w:t xml:space="preserve">max(0, 100 − 30 × Issue count)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168</w:t>
            </w:r>
          </w:p>
        </w:tc>
        <w:tc>
          <w:tcPr>
            <w:tcW w:w="3400" w:type="dxa"/>
          </w:tcPr>
          <w:p>
            <w:r>
              <w:rPr/>
              <w:t xml:space="preserve">Percentage display</w:t>
            </w:r>
          </w:p>
        </w:tc>
        <w:tc>
          <w:tcPr>
            <w:tcW w:w="11200" w:type="dxa"/>
          </w:tcPr>
          <w:p>
            <w:r>
              <w:rPr/>
              <w:t xml:space="preserve">Fraction × 100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169</w:t>
            </w:r>
          </w:p>
        </w:tc>
        <w:tc>
          <w:tcPr>
            <w:tcW w:w="3400" w:type="dxa"/>
          </w:tcPr>
          <w:p>
            <w:r>
              <w:rPr/>
              <w:t xml:space="preserve">Total actions</w:t>
            </w:r>
          </w:p>
        </w:tc>
        <w:tc>
          <w:tcPr>
            <w:tcW w:w="11200" w:type="dxa"/>
          </w:tcPr>
          <w:p>
            <w:r>
              <w:rPr/>
              <w:t xml:space="preserve">Count(All risk actions)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170</w:t>
            </w:r>
          </w:p>
        </w:tc>
        <w:tc>
          <w:tcPr>
            <w:tcW w:w="3400" w:type="dxa"/>
          </w:tcPr>
          <w:p>
            <w:r>
              <w:rPr/>
              <w:t xml:space="preserve">P1 priority</w:t>
            </w:r>
          </w:p>
        </w:tc>
        <w:tc>
          <w:tcPr>
            <w:tcW w:w="11200" w:type="dxa"/>
          </w:tcPr>
          <w:p>
            <w:r>
              <w:rPr/>
              <w:t xml:space="preserve">Count(Actions with priority = P1)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171</w:t>
            </w:r>
          </w:p>
        </w:tc>
        <w:tc>
          <w:tcPr>
            <w:tcW w:w="3400" w:type="dxa"/>
          </w:tcPr>
          <w:p>
            <w:r>
              <w:rPr/>
              <w:t xml:space="preserve">Open</w:t>
            </w:r>
          </w:p>
        </w:tc>
        <w:tc>
          <w:tcPr>
            <w:tcW w:w="11200" w:type="dxa"/>
          </w:tcPr>
          <w:p>
            <w:r>
              <w:rPr/>
              <w:t xml:space="preserve">Count(Actions with status = Open)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172</w:t>
            </w:r>
          </w:p>
        </w:tc>
        <w:tc>
          <w:tcPr>
            <w:tcW w:w="3400" w:type="dxa"/>
          </w:tcPr>
          <w:p>
            <w:r>
              <w:rPr/>
              <w:t xml:space="preserve">Escalated</w:t>
            </w:r>
          </w:p>
        </w:tc>
        <w:tc>
          <w:tcPr>
            <w:tcW w:w="11200" w:type="dxa"/>
          </w:tcPr>
          <w:p>
            <w:r>
              <w:rPr/>
              <w:t xml:space="preserve">Count(Actions with status = Escalated)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173</w:t>
            </w:r>
          </w:p>
        </w:tc>
        <w:tc>
          <w:tcPr>
            <w:tcW w:w="3400" w:type="dxa"/>
          </w:tcPr>
          <w:p>
            <w:r>
              <w:rPr/>
              <w:t xml:space="preserve">Indicators tracked</w:t>
            </w:r>
          </w:p>
        </w:tc>
        <w:tc>
          <w:tcPr>
            <w:tcW w:w="11200" w:type="dxa"/>
          </w:tcPr>
          <w:p>
            <w:r>
              <w:rPr/>
              <w:t xml:space="preserve">Count(All early-warning indicators)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174</w:t>
            </w:r>
          </w:p>
        </w:tc>
        <w:tc>
          <w:tcPr>
            <w:tcW w:w="3400" w:type="dxa"/>
          </w:tcPr>
          <w:p>
            <w:r>
              <w:rPr/>
              <w:t xml:space="preserve">Threshold breached</w:t>
            </w:r>
          </w:p>
        </w:tc>
        <w:tc>
          <w:tcPr>
            <w:tcW w:w="11200" w:type="dxa"/>
          </w:tcPr>
          <w:p>
            <w:r>
              <w:rPr/>
              <w:t xml:space="preserve">Count(Indicators with status = Breached)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175</w:t>
            </w:r>
          </w:p>
        </w:tc>
        <w:tc>
          <w:tcPr>
            <w:tcW w:w="3400" w:type="dxa"/>
          </w:tcPr>
          <w:p>
            <w:r>
              <w:rPr/>
              <w:t xml:space="preserve">On watch</w:t>
            </w:r>
          </w:p>
        </w:tc>
        <w:tc>
          <w:tcPr>
            <w:tcW w:w="11200" w:type="dxa"/>
          </w:tcPr>
          <w:p>
            <w:r>
              <w:rPr/>
              <w:t xml:space="preserve">Count(Indicators with status = Watch)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176</w:t>
            </w:r>
          </w:p>
        </w:tc>
        <w:tc>
          <w:tcPr>
            <w:tcW w:w="3400" w:type="dxa"/>
          </w:tcPr>
          <w:p>
            <w:r>
              <w:rPr/>
              <w:t xml:space="preserve">Adverse trend</w:t>
            </w:r>
          </w:p>
        </w:tc>
        <w:tc>
          <w:tcPr>
            <w:tcW w:w="11200" w:type="dxa"/>
          </w:tcPr>
          <w:p>
            <w:r>
              <w:rPr/>
              <w:t xml:space="preserve">Count(Indicators marked adverse)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177</w:t>
            </w:r>
          </w:p>
        </w:tc>
        <w:tc>
          <w:tcPr>
            <w:tcW w:w="3400" w:type="dxa"/>
          </w:tcPr>
          <w:p>
            <w:r>
              <w:rPr/>
              <w:t xml:space="preserve">Transmission paths</w:t>
            </w:r>
          </w:p>
        </w:tc>
        <w:tc>
          <w:tcPr>
            <w:tcW w:w="11200" w:type="dxa"/>
          </w:tcPr>
          <w:p>
            <w:r>
              <w:rPr/>
              <w:t xml:space="preserve">Count(Mapped contagion paths)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178</w:t>
            </w:r>
          </w:p>
        </w:tc>
        <w:tc>
          <w:tcPr>
            <w:tcW w:w="3400" w:type="dxa"/>
          </w:tcPr>
          <w:p>
            <w:r>
              <w:rPr/>
              <w:t xml:space="preserve">Level 1 entity count</w:t>
            </w:r>
          </w:p>
        </w:tc>
        <w:tc>
          <w:tcPr>
            <w:tcW w:w="11200" w:type="dxa"/>
          </w:tcPr>
          <w:p>
            <w:r>
              <w:rPr/>
              <w:t xml:space="preserve">Count(Distinct Level 1 entities)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179</w:t>
            </w:r>
          </w:p>
        </w:tc>
        <w:tc>
          <w:tcPr>
            <w:tcW w:w="3400" w:type="dxa"/>
          </w:tcPr>
          <w:p>
            <w:r>
              <w:rPr/>
              <w:t xml:space="preserve">Level 2 entity count</w:t>
            </w:r>
          </w:p>
        </w:tc>
        <w:tc>
          <w:tcPr>
            <w:tcW w:w="11200" w:type="dxa"/>
          </w:tcPr>
          <w:p>
            <w:r>
              <w:rPr/>
              <w:t xml:space="preserve">Count(Distinct Level 2 entities)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180</w:t>
            </w:r>
          </w:p>
        </w:tc>
        <w:tc>
          <w:tcPr>
            <w:tcW w:w="3400" w:type="dxa"/>
          </w:tcPr>
          <w:p>
            <w:r>
              <w:rPr/>
              <w:t xml:space="preserve">Network link count</w:t>
            </w:r>
          </w:p>
        </w:tc>
        <w:tc>
          <w:tcPr>
            <w:tcW w:w="11200" w:type="dxa"/>
          </w:tcPr>
          <w:p>
            <w:r>
              <w:rPr/>
              <w:t xml:space="preserve">Count(Relationships whose source and target are in the selected network)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181</w:t>
            </w:r>
          </w:p>
        </w:tc>
        <w:tc>
          <w:tcPr>
            <w:tcW w:w="3400" w:type="dxa"/>
          </w:tcPr>
          <w:p>
            <w:r>
              <w:rPr/>
              <w:t xml:space="preserve">Exposure count</w:t>
            </w:r>
          </w:p>
        </w:tc>
        <w:tc>
          <w:tcPr>
            <w:tcW w:w="11200" w:type="dxa"/>
          </w:tcPr>
          <w:p>
            <w:r>
              <w:rPr/>
              <w:t xml:space="preserve">Count(Unique exposure IDs)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182</w:t>
            </w:r>
          </w:p>
        </w:tc>
        <w:tc>
          <w:tcPr>
            <w:tcW w:w="3400" w:type="dxa"/>
          </w:tcPr>
          <w:p>
            <w:r>
              <w:rPr/>
              <w:t xml:space="preserve">Collateral</w:t>
            </w:r>
          </w:p>
        </w:tc>
        <w:tc>
          <w:tcPr>
            <w:tcW w:w="11200" w:type="dxa"/>
          </w:tcPr>
          <w:p>
            <w:r>
              <w:rPr/>
              <w:t xml:space="preserve">Collateral market value × (1 − Haircut)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183</w:t>
            </w:r>
          </w:p>
        </w:tc>
        <w:tc>
          <w:tcPr>
            <w:tcW w:w="3400" w:type="dxa"/>
          </w:tcPr>
          <w:p>
            <w:r>
              <w:rPr/>
              <w:t xml:space="preserve">Post-haircut value</w:t>
            </w:r>
          </w:p>
        </w:tc>
        <w:tc>
          <w:tcPr>
            <w:tcW w:w="11200" w:type="dxa"/>
          </w:tcPr>
          <w:p>
            <w:r>
              <w:rPr/>
              <w:t xml:space="preserve">Collateral market value × (1 − Haircut)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184</w:t>
            </w:r>
          </w:p>
        </w:tc>
        <w:tc>
          <w:tcPr>
            <w:tcW w:w="3400" w:type="dxa"/>
          </w:tcPr>
          <w:p>
            <w:r>
              <w:rPr/>
              <w:t xml:space="preserve">Post-haircut value</w:t>
            </w:r>
          </w:p>
        </w:tc>
        <w:tc>
          <w:tcPr>
            <w:tcW w:w="11200" w:type="dxa"/>
          </w:tcPr>
          <w:p>
            <w:r>
              <w:rPr/>
              <w:t xml:space="preserve">Asset collateral value × (1 − Haircut percentage ÷ 100)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185</w:t>
            </w:r>
          </w:p>
        </w:tc>
        <w:tc>
          <w:tcPr>
            <w:tcW w:w="3400" w:type="dxa"/>
          </w:tcPr>
          <w:p>
            <w:r>
              <w:rPr/>
              <w:t xml:space="preserve">Eligible collateral</w:t>
            </w:r>
          </w:p>
        </w:tc>
        <w:tc>
          <w:tcPr>
            <w:tcW w:w="11200" w:type="dxa"/>
          </w:tcPr>
          <w:p>
            <w:r>
              <w:rPr/>
              <w:t xml:space="preserve">Collateral market value (before haircut); fallback: collateral held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186</w:t>
            </w:r>
          </w:p>
        </w:tc>
        <w:tc>
          <w:tcPr>
            <w:tcW w:w="3400" w:type="dxa"/>
          </w:tcPr>
          <w:p>
            <w:r>
              <w:rPr/>
              <w:t xml:space="preserve">Potential future exposure</w:t>
            </w:r>
          </w:p>
        </w:tc>
        <w:tc>
          <w:tcPr>
            <w:tcW w:w="11200" w:type="dxa"/>
          </w:tcPr>
          <w:p>
            <w:r>
              <w:rPr/>
              <w:t xml:space="preserve">Manufactured data: derivatives product allocation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187</w:t>
            </w:r>
          </w:p>
        </w:tc>
        <w:tc>
          <w:tcPr>
            <w:tcW w:w="3400" w:type="dxa"/>
          </w:tcPr>
          <w:p>
            <w:r>
              <w:rPr/>
              <w:t xml:space="preserve">Direct bank exposure</w:t>
            </w:r>
          </w:p>
        </w:tc>
        <w:tc>
          <w:tcPr>
            <w:tcW w:w="11200" w:type="dxa"/>
          </w:tcPr>
          <w:p>
            <w:r>
              <w:rPr/>
              <w:t xml:space="preserve">Funded exposure + Unfunded exposure; curated demo: Funded exposure + Unfunded exposure + Potential future exposure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188</w:t>
            </w:r>
          </w:p>
        </w:tc>
        <w:tc>
          <w:tcPr>
            <w:tcW w:w="3400" w:type="dxa"/>
          </w:tcPr>
          <w:p>
            <w:r>
              <w:rPr/>
              <w:t xml:space="preserve">Total exposure</w:t>
            </w:r>
          </w:p>
        </w:tc>
        <w:tc>
          <w:tcPr>
            <w:tcW w:w="11200" w:type="dxa"/>
          </w:tcPr>
          <w:p>
            <w:r>
              <w:rPr/>
              <w:t xml:space="preserve">Contagion view: Sum(Exposure amount across displayed paths)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189</w:t>
            </w:r>
          </w:p>
        </w:tc>
        <w:tc>
          <w:tcPr>
            <w:tcW w:w="3400" w:type="dxa"/>
          </w:tcPr>
          <w:p>
            <w:r>
              <w:rPr/>
              <w:t xml:space="preserve">Top supplier concentration</w:t>
            </w:r>
          </w:p>
        </w:tc>
        <w:tc>
          <w:tcPr>
            <w:tcW w:w="11200" w:type="dxa"/>
          </w:tcPr>
          <w:p>
            <w:r>
              <w:rPr/>
              <w:t xml:space="preserve">Stored largest-supplier purchase share (%)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190</w:t>
            </w:r>
          </w:p>
        </w:tc>
        <w:tc>
          <w:tcPr>
            <w:tcW w:w="3400" w:type="dxa"/>
          </w:tcPr>
          <w:p>
            <w:r>
              <w:rPr/>
              <w:t xml:space="preserve">Top customer concentration</w:t>
            </w:r>
          </w:p>
        </w:tc>
        <w:tc>
          <w:tcPr>
            <w:tcW w:w="11200" w:type="dxa"/>
          </w:tcPr>
          <w:p>
            <w:r>
              <w:rPr/>
              <w:t xml:space="preserve">Stored largest-customer revenue share (%)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191</w:t>
            </w:r>
          </w:p>
        </w:tc>
        <w:tc>
          <w:tcPr>
            <w:tcW w:w="3400" w:type="dxa"/>
          </w:tcPr>
          <w:p>
            <w:r>
              <w:rPr/>
              <w:t xml:space="preserve">Country risk score</w:t>
            </w:r>
          </w:p>
        </w:tc>
        <w:tc>
          <w:tcPr>
            <w:tcW w:w="11200" w:type="dxa"/>
          </w:tcPr>
          <w:p>
            <w:r>
              <w:rPr/>
              <w:t xml:space="preserve">Stored normalized country risk index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192</w:t>
            </w:r>
          </w:p>
        </w:tc>
        <w:tc>
          <w:tcPr>
            <w:tcW w:w="3400" w:type="dxa"/>
          </w:tcPr>
          <w:p>
            <w:r>
              <w:rPr/>
              <w:t xml:space="preserve">Strength</w:t>
            </w:r>
          </w:p>
        </w:tc>
        <w:tc>
          <w:tcPr>
            <w:tcW w:w="11200" w:type="dxa"/>
          </w:tcPr>
          <w:p>
            <w:r>
              <w:rPr/>
              <w:t xml:space="preserve">Relationship strength fraction × 100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/>
              <w:t xml:space="preserve">193</w:t>
            </w:r>
          </w:p>
        </w:tc>
        <w:tc>
          <w:tcPr>
            <w:tcW w:w="3400" w:type="dxa"/>
          </w:tcPr>
          <w:p>
            <w:r>
              <w:rPr/>
              <w:t xml:space="preserve">Dependency</w:t>
            </w:r>
          </w:p>
        </w:tc>
        <w:tc>
          <w:tcPr>
            <w:tcW w:w="11200" w:type="dxa"/>
          </w:tcPr>
          <w:p>
            <w:r>
              <w:rPr/>
              <w:t xml:space="preserve">Relationship dependency fraction × 100</w:t>
            </w:r>
          </w:p>
        </w:tc>
      </w:tr>
    </w:tbl>
    <w:sectPr>
      <w:pgSz w:w="16838" w:h="11906" w:orient="landscape"/>
      <w:pgMar w:top="700" w:right="800" w:bottom="700" w:left="80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0"/>
      </w:rPr>
    </w:rPrDefault>
    <w:pPrDefault>
      <w:pPr>
        <w:spacing w:after="40"/>
      </w:pPr>
    </w:p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