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56"/>
        </w:rPr>
        <w:t>MODEL / SYSTEM CARD</w:t>
      </w:r>
    </w:p>
    <w:p>
      <w:pPr>
        <w:jc w:val="center"/>
      </w:pPr>
      <w:r>
        <w:rPr>
          <w:color w:val="2F75B5"/>
          <w:sz w:val="32"/>
        </w:rPr>
        <w:t>Credit Dossier – AI-Assisted Credit Pitch-Book Configuration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74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 ID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CD-AI-MSC-001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Prepared date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2026-09-18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Configuration reviewed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Repository and local deployment configuration as inspected on 2026-09-18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Environment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Development (APP_ENV=development); not evidence of production approval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Classification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Internal / Confidential – may describe controls and data flows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Review frequency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At least annually and before any material model, prompt, source, guardrail, or workflow change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Approval status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DRAFT – NOT APPROVED FOR PRODUCTION USE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Approval owner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 ITEM – accountable business/model-risk owner not named in current documents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5112"/>
      </w:tblGrid>
      <w:tr>
        <w:tc>
          <w:tcPr>
            <w:tcW w:type="dxa" w:w="5112"/>
            <w:vAlign w:val="center"/>
            <w:shd w:fill="2F75B5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DRAFT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This card records implemented behavior and known gaps. Yellow items require an accountable owner and evidence before production approval.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t>Credit Dossier is a decision-support system that drafts sixteen sections of a commercial-credit pitch book. It combines Mistral-managed agents and document libraries with deal data, PostgreSQL credit datasets, user-supplied documents/text, and validated section URLs. The system produces draft narratives, inline source markers, retrieved-source metadata, claim classification, confidence information, version history, and exportable dossiers.</w:t>
      </w:r>
    </w:p>
    <w:p>
      <w:r>
        <w:t>It does not make an autonomous lending decision. A Relationship Manager prepares and submits a frozen dossier snapshot; a Credit Analyst must approve or deny it. Generated content, citations, OCR output, evaluation scores, and confidence indicators remain fallible and require human verification against authoritative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5112"/>
      </w:tblGrid>
      <w:tr>
        <w:tc>
          <w:tcPr>
            <w:tcW w:type="dxa" w:w="5112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CONDITIONAL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Suitable only for supervised drafting and review. It must not be treated as a credit decision engine, source of record, or substitute for policy/legal/compliance review.</w:t>
            </w:r>
          </w:p>
        </w:tc>
      </w:tr>
    </w:tbl>
    <w:p>
      <w:pPr>
        <w:spacing w:after="0"/>
      </w:pPr>
    </w:p>
    <w:p>
      <w:pPr>
        <w:pStyle w:val="Heading1"/>
      </w:pPr>
      <w:r>
        <w:t>2. System identity and deployed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Provider / configured model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95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 status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Section generation (16 agents)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AI / mistral-large-latest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Draft section narratives using scoped libraries and direct context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Rolling alias; immutable provider snapshot/version is not recorded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Orchestration agent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AI / mistral-large-latest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Ranks documents/data, proposes searches and identifies gaps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Rolling alias; immutable provider snapshot/version is not recorded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Claim/accuracy evaluator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AI / mistral-large-latest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Classifies grounded, inferred and unsupported claims; legacy score fallback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Rolling alias; evaluator prompt/model release is not persistently versioned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Moderation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AI / mistral-moderation-latest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Screens custom instructions and output templates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Rolling alias; exact classifier release/thresholds are not recorded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OCR (legacy compatibility path)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AI / mistral-ocr-latest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Extracts text/tables from supported uploaded documents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Rolling alias; exact OCR release is not recorded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Managed retrieval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AI Document Libraries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OCR/indexing/chunking/embedding/retrieval for company and deal libraries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Underlying retrieval/embedding versions are provider-managed and not recorded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Optional confidence judge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Observability saved judge / deployment-specific ID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May replace legacy evaluator score after 0–100 normalization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Not configured in the inspected local .env; ID/model/prompt/version not documented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SDK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mistralai 2.7.2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Client, agents, libraries, OCR, moderation, telemetry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Pinned application dependency</w:t>
            </w:r>
          </w:p>
        </w:tc>
      </w:tr>
    </w:tbl>
    <w:p>
      <w:pPr>
        <w:spacing w:after="0"/>
      </w:pPr>
    </w:p>
    <w:p>
      <w:r>
        <w:t>Version qualification: the repository provides exact configured aliases, but not immutable provider model builds. Therefore the minimum field ‘exact model/version’ is only partially satisfied. Release approval must capture the alias resolution or provider release identifier, API region/account, agent IDs, prompt revision/commit, judge ID, and retrieval configuration in a deployment manifest.</w:t>
      </w:r>
    </w:p>
    <w:p>
      <w:pPr>
        <w:pStyle w:val="Heading1"/>
      </w:pPr>
      <w:r>
        <w:t>3. Intended and prohibited use</w:t>
      </w:r>
    </w:p>
    <w:p>
      <w:pPr>
        <w:pStyle w:val="Heading2"/>
      </w:pPr>
      <w:r>
        <w:t>Intended use</w:t>
      </w:r>
    </w:p>
    <w:p>
      <w:pPr>
        <w:pStyle w:val="ListBullet"/>
      </w:pPr>
      <w:r>
        <w:t>Assist Relationship Managers and Credit Analysts in preparing evidence-grounded commercial-credit dossier drafts.</w:t>
      </w:r>
    </w:p>
    <w:p>
      <w:pPr>
        <w:pStyle w:val="ListBullet"/>
      </w:pPr>
      <w:r>
        <w:t>Summarize and structure approved company/deal materials, credit tables and permitted web sources across the sixteen configured sections.</w:t>
      </w:r>
    </w:p>
    <w:p>
      <w:pPr>
        <w:pStyle w:val="ListBullet"/>
      </w:pPr>
      <w:r>
        <w:t>Support—not replace—professional analysis through citations, missing-data markers, claim classifications, confidence information and versioned human review.</w:t>
      </w:r>
    </w:p>
    <w:p>
      <w:pPr>
        <w:pStyle w:val="ListBullet"/>
      </w:pPr>
      <w:r>
        <w:t>Generate PDF, DOCX and PPTX outputs only after users have reviewed the underlying content and access controls permit export.</w:t>
      </w:r>
    </w:p>
    <w:p>
      <w:pPr>
        <w:pStyle w:val="Heading2"/>
      </w:pPr>
      <w:r>
        <w:t>Prohibited use</w:t>
      </w:r>
    </w:p>
    <w:p>
      <w:pPr>
        <w:pStyle w:val="ListBullet"/>
      </w:pPr>
      <w:r>
        <w:t>Autonomous approval, denial, pricing, limit setting, credit grading, adverse action, or any legally significant lending decision.</w:t>
      </w:r>
    </w:p>
    <w:p>
      <w:pPr>
        <w:pStyle w:val="ListBullet"/>
      </w:pPr>
      <w:r>
        <w:t>Use as the sole basis for financial, legal, regulatory, KYC/AML, sanctions, ESG, valuation or collateral conclusions.</w:t>
      </w:r>
    </w:p>
    <w:p>
      <w:pPr>
        <w:pStyle w:val="ListBullet"/>
      </w:pPr>
      <w:r>
        <w:t>Fabrication, backfilling, or estimation of missing facts; use of unapproved or unlawfully obtained data; circumvention of access controls or moderation.</w:t>
      </w:r>
    </w:p>
    <w:p>
      <w:pPr>
        <w:pStyle w:val="ListBullet"/>
      </w:pPr>
      <w:r>
        <w:t>Consumer-credit or employment decisions; public-facing advice; model training on customer material without a separately approved legal basis.</w:t>
      </w:r>
    </w:p>
    <w:p>
      <w:pPr>
        <w:pStyle w:val="ListBullet"/>
      </w:pPr>
      <w:r>
        <w:t>Uploading secrets, unnecessary personal data, special-category data, malware, or information the user is not authorized to disclose to the configured provider.</w:t>
      </w:r>
    </w:p>
    <w:p>
      <w:pPr>
        <w:pStyle w:val="ListBullet"/>
      </w:pPr>
      <w:r>
        <w:t>Treating confidence scores, citations, retrieved sources, or a ‘safe’ moderation result as proof of truth, compliance, completeness, or absence of harm.</w:t>
      </w:r>
    </w:p>
    <w:p>
      <w:pPr>
        <w:pStyle w:val="Heading1"/>
      </w:pPr>
      <w:r>
        <w:t>4. Users and affected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74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 / impact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Relationship Managers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 owner-scoped deals, add sources, generate/edit narratives, inspect evidence, select versions and submit frozen snapshots.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Credit Analysts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Review all submitted dossiers and approve or deny with comments; accountable for independent verification within assigned authority.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Administrators / operators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accounts, manage policy/security settings, inspect audit records, operate databases, secrets, libraries and incidents.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Borrowers, guarantors, directors and employees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May be represented in source material or affected by erroneous, biased, incomplete or leaked analysis.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Credit committee / approvers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May rely on approved dossiers; must receive clear AI-assistance and confidence/citation limitations.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Risk, compliance, legal, privacy, security, audit and model-risk functions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Set acceptable-use, data-handling, validation, monitoring, change and incident requirements.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AI and infrastructure providers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Process or host prompts, documents, retrieval indexes and telemetry according to contract and deployment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5. Inputs, outputs and grounding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 / source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Handling and caveats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Deal inputs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Borrower/deal metadata, facility terms, pricing, repayment, collateral, KYC/status and section settings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Section-specific fields are selected; data can be sensitive and must be accurate and authorized.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User instructions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Custom instructions and output templates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Moderated before generation; prompt injection and unsafe content remain possible.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Company library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Shared read-only company PDFs in a Mistral Document Library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Owner/company scoped; source quality and document currency are not automatically guaranteed.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Deal library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User-uploaded files, URL content or pasted text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Deal-specific; Mistral manages OCR/indexing/retrieval. File metadata is stored locally.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Structured grounding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Relevant rows from 16 owner-scoped PostgreSQL credit tables via local MCP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Selected by section. MCP can fail and generation may continue with other sources.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Web grounding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Up to 10 explicit section URLs fetched at generation time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Validation exists, but allow/deny and SSRF hardening are documented follow-up items; web content can be malicious or stale.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Legacy OCR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PDF/DOCX/images and supported office files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Uses mistral-ocr-latest with local extraction fallback; extraction errors can alter figures/tables.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Outputs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Markdown narratives, tables, inline [Source : …] markers, retrieved-source metadata, gaps, claim counts, confidence, metrics, versions and exports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Draft content requiring source-level human verification; not an authoritative record until approved.</w:t>
            </w:r>
          </w:p>
        </w:tc>
      </w:tr>
    </w:tbl>
    <w:p>
      <w:pPr>
        <w:spacing w:after="0"/>
      </w:pPr>
    </w:p>
    <w:p>
      <w:r>
        <w:t>Grounding precedence is contextual rather than a guarantee of correctness: company library + deal library + relevant structured MCP records + explicitly supplied URLs + deal fields. The prompt instructs the model to use only approved evidence, cite each factual statement inline, state when data are unavailable, distinguish analysis from fact, and avoid extrapolation.</w:t>
      </w:r>
    </w:p>
    <w:p>
      <w:pPr>
        <w:pStyle w:val="Heading1"/>
      </w:pPr>
      <w:r>
        <w:t>6. Limitations and known failure modes</w:t>
      </w:r>
    </w:p>
    <w:p>
      <w:pPr>
        <w:pStyle w:val="ListBullet"/>
      </w:pPr>
      <w:r>
        <w:t>Large-language-model output may be fluent but false, internally inconsistent, overconfident, or unsupported; a citation may exist but fail to support the exact claim.</w:t>
      </w:r>
    </w:p>
    <w:p>
      <w:pPr>
        <w:pStyle w:val="ListBullet"/>
      </w:pPr>
      <w:r>
        <w:t>Rolling ‘latest’ aliases can change behavior without a repository change, weakening reproducibility and regression attribution.</w:t>
      </w:r>
    </w:p>
    <w:p>
      <w:pPr>
        <w:pStyle w:val="ListBullet"/>
      </w:pPr>
      <w:r>
        <w:t>Retrieval can miss relevant passages, select stale or conflicting documents, confuse same-named entities, or lose table/page context.</w:t>
      </w:r>
    </w:p>
    <w:p>
      <w:pPr>
        <w:pStyle w:val="ListBullet"/>
      </w:pPr>
      <w:r>
        <w:t>OCR can transpose digits, signs, decimal places, currency units, dates, columns or footnotes, especially in scans and complex tables.</w:t>
      </w:r>
    </w:p>
    <w:p>
      <w:pPr>
        <w:pStyle w:val="ListBullet"/>
      </w:pPr>
      <w:r>
        <w:t>Structured data and documents may disagree; source freshness, authority and reconciliation are not automatically adjudicated.</w:t>
      </w:r>
    </w:p>
    <w:p>
      <w:pPr>
        <w:pStyle w:val="ListBullet"/>
      </w:pPr>
      <w:r>
        <w:t>The claim evaluator and optional judge are themselves model-based and may share errors with the generator. Confidence is not a calibrated probability of correctness.</w:t>
      </w:r>
    </w:p>
    <w:p>
      <w:pPr>
        <w:pStyle w:val="ListBullet"/>
      </w:pPr>
      <w:r>
        <w:t>Accuracy evaluation is skipped when no library documents exist; judge failure falls back to the legacy evaluator, which can mask degraded assurance if not surfaced.</w:t>
      </w:r>
    </w:p>
    <w:p>
      <w:pPr>
        <w:pStyle w:val="ListBullet"/>
      </w:pPr>
      <w:r>
        <w:t>Moderation covers custom instructions and templates, not necessarily every document, URL, structured value, or generated output. API errors currently fail open.</w:t>
      </w:r>
    </w:p>
    <w:p>
      <w:pPr>
        <w:pStyle w:val="ListBullet"/>
      </w:pPr>
      <w:r>
        <w:t>MCP unavailability is non-fatal; drafts can be generated with reduced grounding. In-memory batch jobs can be lost on restart.</w:t>
      </w:r>
    </w:p>
    <w:p>
      <w:pPr>
        <w:pStyle w:val="ListBullet"/>
      </w:pPr>
      <w:r>
        <w:t>Global agent library rebinding is protected only by a process-local lock; the implementation plan notes that multi-worker safety is unresolved.</w:t>
      </w:r>
    </w:p>
    <w:p>
      <w:pPr>
        <w:pStyle w:val="ListBullet"/>
      </w:pPr>
      <w:r>
        <w:t>URLs may change between runs and can carry prompt-injection or malicious content. Production SSRF and domain policy hardening is not complete.</w:t>
      </w:r>
    </w:p>
    <w:p>
      <w:pPr>
        <w:pStyle w:val="ListBullet"/>
      </w:pPr>
      <w:r>
        <w:t>Local file storage and development settings are not a production-grade availability, durability, privacy or security posture.</w:t>
      </w:r>
    </w:p>
    <w:p>
      <w:pPr>
        <w:pStyle w:val="Heading1"/>
      </w:pPr>
      <w:r>
        <w:t>7. Hallucination, bias and toxicity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 / impact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mitigation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Residual risk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Hallucination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Invented figures, ratings, covenants, causal claims or recommendations can distort lending analysis.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Evidence-only prompt, missing-data markers, citations, claim evaluator, confidence, human approval.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High without line-by-line review; medium with effective review and validated evidence.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Citation error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Source marker is absent, wrong, stale, circular, or does not entail the statement.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Inline citation instructions, source normalization and retrieved-source panel.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Material; no labeled citation-correctness gate is documented.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Bias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Historical/company sources or model priors may disadvantage regions, sectors, small firms, protected groups or unfamiliar business models.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Professional review and source-bounded prompting.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Material; no documented subgroup/fairness evaluation dataset or metric.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Toxicity / unsafe content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Prompts or outputs may include hate, violence, self-harm, sexual, criminal, health, financial or PII content.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moderation on custom instructions/templates and role-based access.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Material because coverage is partial and failures fail open.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Automation bias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Users over-trust polished prose, scores or apparent citations.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Human approval workflow and confidence/source UI.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High unless training, checklists and explicit attestation are enforced.</w:t>
            </w:r>
          </w:p>
        </w:tc>
      </w:tr>
      <w:tr>
        <w:tc>
          <w:tcPr>
            <w:tcW w:type="dxa" w:w="158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Prompt injection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Document/URL text directs the model to ignore policies, leak data or miscite sources.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System prompts, scoped libraries and URL validation.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Material; no documented content sanitization or adversarial injection gate.</w:t>
            </w:r>
          </w:p>
        </w:tc>
      </w:tr>
    </w:tbl>
    <w:p>
      <w:pPr>
        <w:spacing w:after="0"/>
      </w:pPr>
    </w:p>
    <w:p>
      <w:pPr>
        <w:pStyle w:val="Heading1"/>
      </w:pPr>
      <w:r>
        <w:t>8. Moderation and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46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Implemented behavior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Gap / required action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Input moderation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mistral-moderation-latest screens custom instructions and output templates for provider categories, including sexual, hate/discrimination, violence/threats, dangerous/criminal, self-harm, health, financial and PII.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Extend policy to documents, URLs and output where required; validate thresholds and category mapping.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Failure policy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Flagged inputs block generation; API failure or empty results are treated as safe and error details are recorded.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 – choose fail-closed or explicit supervisor override for regulated production; alert on any fail-open event.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Anti-hallucination prompt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Evidence-only rule, inline citations, missing-data statements, no invented figures, no unsupported extrapolation, gap marking.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Prompt controls reduce but do not eliminate errors; version prompts and test adherence.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Access / isolation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Server-side authentication, role checks, owner-scoped deals and MCP requests, scoped libraries, process lock during rebinding.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Validate all routes; resolve multi-worker cross-binding design before scale-out.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Confidence / claims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Grounded/inferred/unsupported counts; optional saved judge with fallback evaluator.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Show source and fallback state prominently; calibrate against labeled outcomes.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Human gate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RM submits frozen snapshot; Credit Analyst approves or denies with required denial comments.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Require reviewer attestation and documented verification checklist.</w:t>
            </w:r>
          </w:p>
        </w:tc>
      </w:tr>
    </w:tbl>
    <w:p>
      <w:pPr>
        <w:spacing w:after="0"/>
      </w:pPr>
    </w:p>
    <w:p>
      <w:pPr>
        <w:pStyle w:val="Heading1"/>
      </w:pPr>
      <w:r>
        <w:t>9. Evaluation datasets and metrics</w:t>
      </w:r>
    </w:p>
    <w:p>
      <w:r>
        <w:t>Current repository evidence shows unit/mocked service tests and manual verification guidance. It does not demonstrate a completed, representative model validation package or labeled production acceptance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Evaluation area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evidence / metric</w:t>
            </w:r>
          </w:p>
        </w:tc>
        <w:tc>
          <w:tcPr>
            <w:tcW w:type="dxa" w:w="46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release criterion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Generation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Representative mandatory/optional sections; mocked single and batch service tests.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Frozen regression corpus across all 16 sections; SME rubric for factuality, completeness, policy adherence and usefulness.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Claims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Counts of grounded, inferred and unsupported claims plus narrative score.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Precision/recall/F1 against human-labeled claims; unsupported-claim rate and severity-weighted error rate.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Citations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Normalization and retrieved-source tests; manual source-panel inspection.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Citation correctness/entailment, citation completeness/coverage, source-authority and page/row locator accuracy.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OCR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OCR/local fallback behavior; page count/extraction logging.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Document-type benchmark with character/word error rate plus numeric/table cell accuracy and critical-field accuracy.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Moderation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Safe, flagged and API-failure tests.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Category-level precision, recall, false-positive/negative rates, failure-mode and adversarial prompt-injection tests.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Confidence judge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Optional 0–100 saved judge; legacy evaluator fallback.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Calibration curve/Brier or ECE, correlation with SME labels, fallback-rate threshold and judge-version traceability.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Bias/fairness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No documented dataset or metric.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Slice performance by geography, industry, company size and other legally permissible risk-relevant segments; investigate material disparities.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Robustness/security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Library scoping concurrency and authorization tests recommended.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Prompt-injection, cross-tenant leakage, stale/conflicting source, URL/SSRF, malformed document and provider-outage suites.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5112"/>
      </w:tblGrid>
      <w:tr>
        <w:tc>
          <w:tcPr>
            <w:tcW w:type="dxa" w:w="5112"/>
            <w:vAlign w:val="center"/>
            <w:shd w:fill="FFF2C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OPEN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Acceptance thresholds, dataset owners, sample sizes, red-team results and sign-off evidence are not defined. Production approval should be withheld until these are documented.</w:t>
            </w:r>
          </w:p>
        </w:tc>
      </w:tr>
    </w:tbl>
    <w:p>
      <w:pPr>
        <w:spacing w:after="0"/>
      </w:pPr>
    </w:p>
    <w:p>
      <w:pPr>
        <w:pStyle w:val="Heading1"/>
      </w:pPr>
      <w:r>
        <w:t>10. Human oversight and operating procedure</w:t>
      </w:r>
    </w:p>
    <w:p>
      <w:pPr>
        <w:pStyle w:val="ListBullet"/>
      </w:pPr>
      <w:r>
        <w:t>The Relationship Manager must confirm source authorization and freshness, inspect retrieved evidence, reconcile conflicting sources, verify every material figure/citation, edit unsupported language, and submit only a complete snapshot.</w:t>
      </w:r>
    </w:p>
    <w:p>
      <w:pPr>
        <w:pStyle w:val="ListBullet"/>
      </w:pPr>
      <w:r>
        <w:t>The Credit Analyst must independently assess credit logic and policy compliance, reperform critical calculations, verify material facts against authoritative sources, review gaps/unsupported claims and approve or deny with comments.</w:t>
      </w:r>
    </w:p>
    <w:p>
      <w:pPr>
        <w:pStyle w:val="ListBullet"/>
      </w:pPr>
      <w:r>
        <w:t>No score or model response may override delegated lending authority, policy exceptions, legal/compliance obligations or professional judgment.</w:t>
      </w:r>
    </w:p>
    <w:p>
      <w:pPr>
        <w:pStyle w:val="ListBullet"/>
      </w:pPr>
      <w:r>
        <w:t>Reviewers must be able to stop generation, remove sources, edit content, regenerate, select a prior version, deny a submission, and escalate an incident.</w:t>
      </w:r>
    </w:p>
    <w:p>
      <w:pPr>
        <w:pStyle w:val="ListBullet"/>
      </w:pPr>
      <w:r>
        <w:t>High-impact errors—identity mismatch, material financial discrepancy, missing adverse information, unsupported rating/recommendation, data leakage or guardrail failure—require suspension of affected output and escalation before use.</w:t>
      </w:r>
    </w:p>
    <w:p>
      <w:pPr>
        <w:pStyle w:val="Heading1"/>
      </w:pPr>
      <w:r>
        <w:t>11. Explainability, citations and confidence</w:t>
      </w:r>
    </w:p>
    <w:p>
      <w:r>
        <w:t>The primary explanation mechanism is evidence traceability rather than causal model interpretability. Outputs use human-readable inline source markers, and the application stores retrieved-source metadata, orchestration strategy, selected documents, gaps, claim categories, confidence source, latency and available token metrics. Users can inspect sources and compare narrative versions.</w:t>
      </w:r>
    </w:p>
    <w:p>
      <w:r>
        <w:t>Citations are generated and normalized by software but are not cryptographic proof and do not guarantee entailment. Orchestration rationales and evaluator summaries are model-generated explanations and can also be wrong. The confidence value is a workflow aid: it is not a probability of truth, default risk, approval suitability, or compliance. UI and exports should disclose when scoring was skipped or fell back and should identify the evaluator/judge version.</w:t>
      </w:r>
    </w:p>
    <w:p>
      <w:pPr>
        <w:pStyle w:val="Heading1"/>
      </w:pPr>
      <w:r>
        <w:t>12. Privacy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24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control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 / required production control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PBKDF2 password storage, hashed HTTP-only sessions, account approval/lock state, role-specific maximum sessions (30 minutes business; 15 minutes admin).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Enforce HTTPS/secure cookies, throttling, verified reset/admin flow and session revocation.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Authorization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Server-side role and deal ownership enforcement; owner user ID passed to MCP.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Automated route-by-route authorization and tenant-isolation testing.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Secrets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Local encrypted secret support; API/database secrets not intended for source control.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Use managed secret service, rotation, least privilege and environment separation.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Sensitive data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Report masking/tokenization setting; Mistral telemetry configured with redaction=True.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Redaction does not establish legal basis or vendor privacy terms; minimize prompts and classify fields/documents.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Storage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PostgreSQL application data, separate MCP PostgreSQL data, local uploads, Mistral libraries, provider telemetry.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Encrypt in transit/at rest, durable object storage, backup/restore, regional/residency and subprocessor review.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Network/content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Exact CORS configuration and URL validation; MCP circuit breaker/cache.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Production CORS, egress allowlist, SSRF defense, malware scanning and safe document parsing.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Audit</w:t>
            </w:r>
          </w:p>
        </w:tc>
        <w:tc>
          <w:tcPr>
            <w:tcW w:type="dxa" w:w="424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HTTP user/admin/error audit rows and restricted error messages.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Tamper resistance, access monitoring, time synchronization, export controls and retention schedule.</w:t>
            </w:r>
          </w:p>
        </w:tc>
      </w:tr>
    </w:tbl>
    <w:p>
      <w:pPr>
        <w:spacing w:after="0"/>
      </w:pPr>
    </w:p>
    <w:p>
      <w:r>
        <w:t>Data subjects and customers must be covered by an approved purpose, notice/contract and access model. Users must not upload more personal or confidential data than necessary. Provider contractual controls, data residency, training-use terms, deletion behavior, breach notification, subprocessors and cross-border transfers are not established by this repository and require privacy/security approval.</w:t>
      </w:r>
    </w:p>
    <w:p>
      <w:pPr>
        <w:pStyle w:val="Heading1"/>
      </w:pPr>
      <w:r>
        <w:t>13. Retention and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 class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behavior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Approved retention / deletion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Deals, sections and versions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Stored in PostgreSQL; narrative history and frozen review snapshots are retained until application deletion/maintenance actions.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 – not defined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Audit and password events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Persistent database records for HTTP activity, administrative actions, password events and system errors.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 – not defined; must balance audit/legal needs with minimization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Local uploads / templates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Stored on local filesystem in development; some temporary OCR files are deleted after provider processing.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 – lifecycle and secure deletion not defined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libraries/files/agents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Company/deal documents and managed retrieval resources; deal deletion triggers library deletion and shutdown cleans temporary global agents/connectors.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 – provider-side retention/deletion verification not documented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Telemetry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 dedicated telemetry with redaction; spans and stored observability details include status/model/latency/token data where available.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 – provider/local retention and access policy not documented</w:t>
            </w:r>
          </w:p>
        </w:tc>
      </w:tr>
      <w:tr>
        <w:tc>
          <w:tcPr>
            <w:tcW w:type="dxa" w:w="2376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Logs/backups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Application/server logs and database records may persist operational data; backup behavior is deployment-specific.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 – log scrubbing, backup retention and disposal not defined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5112"/>
      </w:tblGrid>
      <w:tr>
        <w:tc>
          <w:tcPr>
            <w:tcW w:type="dxa" w:w="5112"/>
            <w:vAlign w:val="center"/>
            <w:shd w:fill="C6591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BLOCKING GAP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Define and approve retention by data class, legal basis, location, archive/backup behavior, deletion SLA, litigation hold, access, and proof of provider deletion before production use.</w:t>
            </w:r>
          </w:p>
        </w:tc>
      </w:tr>
    </w:tbl>
    <w:p>
      <w:pPr>
        <w:spacing w:after="0"/>
      </w:pPr>
    </w:p>
    <w:p>
      <w:pPr>
        <w:pStyle w:val="Heading1"/>
      </w:pPr>
      <w:r>
        <w:t>14. Monitoring</w:t>
      </w:r>
    </w:p>
    <w:p>
      <w:pPr>
        <w:pStyle w:val="ListBullet"/>
      </w:pPr>
      <w:r>
        <w:t>Monitor availability, latency, token use and error rates by stage: moderation, MCP, orchestration, generation, retrieval/OCR, claim evaluator, optional judge, URL scraping and export.</w:t>
      </w:r>
    </w:p>
    <w:p>
      <w:pPr>
        <w:pStyle w:val="ListBullet"/>
      </w:pPr>
      <w:r>
        <w:t>Alert on moderation fail-open, empty moderation results, unscored narratives, evaluator/judge fallback, unsupported-claim spikes, missing citations, retrieval-source drops, cross-library anomalies and provider/model identifier changes.</w:t>
      </w:r>
    </w:p>
    <w:p>
      <w:pPr>
        <w:pStyle w:val="ListBullet"/>
      </w:pPr>
      <w:r>
        <w:t>Track user overrides, denials, post-generation edits, incident reports and sampled citation/factuality review as quality signals—not as proof of ground truth.</w:t>
      </w:r>
    </w:p>
    <w:p>
      <w:pPr>
        <w:pStyle w:val="ListBullet"/>
      </w:pPr>
      <w:r>
        <w:t>Segment quality by section, model/prompt version, source type, industry and geography. Establish baselines, service levels, error budgets, alert thresholds and named responders.</w:t>
      </w:r>
    </w:p>
    <w:p>
      <w:pPr>
        <w:pStyle w:val="ListBullet"/>
      </w:pPr>
      <w:r>
        <w:t>Perform scheduled human sampling and periodic revalidation; investigate drift in source mix, OCR quality, moderation rates, confidence calibration and approval outcomes.</w:t>
      </w:r>
    </w:p>
    <w:p>
      <w:r>
        <w:t>Implemented: redacted Mistral telemetry, per-stage stored metrics, an in-app observability route and JSON export. Not yet evidenced: formal dashboards, alert thresholds, failure budgets, on-call ownership or calibrated quality monitoring.</w:t>
      </w:r>
    </w:p>
    <w:p>
      <w:pPr>
        <w:pStyle w:val="Heading1"/>
      </w:pPr>
      <w:r>
        <w:t>15. Change management</w:t>
      </w:r>
    </w:p>
    <w:p>
      <w:r>
        <w:t>A material change includes any provider/model alias or resolved build, SDK, agent or judge ID, prompt, moderation policy, retrieval/indexing/OCR behavior, grounding source, schema, confidence calculation, access control, data flow, retention policy, UI disclosure or approval workflow change.</w:t>
      </w:r>
    </w:p>
    <w:p>
      <w:pPr>
        <w:pStyle w:val="ListBullet"/>
      </w:pPr>
      <w:r>
        <w:t>Create a change ticket with purpose, risk assessment, privacy/security impact, affected components, rollback plan and accountable owner.</w:t>
      </w:r>
    </w:p>
    <w:p>
      <w:pPr>
        <w:pStyle w:val="ListBullet"/>
      </w:pPr>
      <w:r>
        <w:t>Pin or record the resolved model build and store model, agent, judge, prompt, dataset and code versions with evaluation results and generated artifacts.</w:t>
      </w:r>
    </w:p>
    <w:p>
      <w:pPr>
        <w:pStyle w:val="ListBullet"/>
      </w:pPr>
      <w:r>
        <w:t>Run the approved regression, safety, bias, security, citation and human-factors suites; compare against signed thresholds and prior release.</w:t>
      </w:r>
    </w:p>
    <w:p>
      <w:pPr>
        <w:pStyle w:val="ListBullet"/>
      </w:pPr>
      <w:r>
        <w:t>Obtain business/model-risk, credit, compliance/privacy and security approvals proportionate to impact before deployment.</w:t>
      </w:r>
    </w:p>
    <w:p>
      <w:pPr>
        <w:pStyle w:val="ListBullet"/>
      </w:pPr>
      <w:r>
        <w:t>Use staged rollout/canary where possible; monitor defined leading indicators; roll back on threshold breach. Update this card and user-facing disclosures in the same release.</w:t>
      </w:r>
    </w:p>
    <w:p>
      <w:pPr>
        <w:pStyle w:val="Heading1"/>
      </w:pPr>
      <w:r>
        <w:t>16. Incident response and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Immediate action</w:t>
            </w:r>
          </w:p>
        </w:tc>
        <w:tc>
          <w:tcPr>
            <w:tcW w:type="dxa" w:w="273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Escalation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Cross-customer data leakage; material unauthorized disclosure; systemic wrong borrower/source binding; compromised credentials; unsafe autonomous decision use.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Stop affected generation/export, isolate access, preserve evidence, revoke/rotate credentials, invoke breach process.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Security/privacy incident lead + business/model-risk owner + legal/compliance + executive authority; vendor as applicable.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Material fabricated financials/ratings; widespread citation failure; moderation outage/fail-open; model change causing major regression.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Quarantine affected outputs, disable component or roll back, notify reviewers, identify impacted dossiers.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AI/model-risk lead + Credit Risk + product/engineering owner; vendor support.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Localized OCR/retrieval error, stale source, scoring/fallback defect, repeated section-quality issue.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Correct source/output, record incident, expand sample review and remediate.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Product/engineering + designated credit SME.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Low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Cosmetic formatting, non-material latency or isolated usability issue.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Log, prioritize and monitor.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Service owner.</w:t>
            </w:r>
          </w:p>
        </w:tc>
      </w:tr>
    </w:tbl>
    <w:p>
      <w:pPr>
        <w:spacing w:after="0"/>
      </w:pPr>
    </w:p>
    <w:p>
      <w:r>
        <w:t>Required record: detection time, reporter, affected users/deals/data, model/agent/prompt/source versions, outputs, audit/trace IDs, severity rationale, containment, notifications, root cause, corrective/preventive actions, validation and closure approval. Current documents do not name an incident commander, contact channel, response SLA or regulatory/customer notification matrix; these are open approval items.</w:t>
      </w:r>
    </w:p>
    <w:p>
      <w:pPr>
        <w:pStyle w:val="Heading1"/>
      </w:pPr>
      <w:r>
        <w:t>17. Approval, open items and attestation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5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56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Approval-blocking item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Due / evidence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Record immutable/resolved versions for generation, orchestration, evaluator, moderation, OCR, retrieval/embedding and saved judge; add deployment manifest.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AI/Engineering owner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Name accountable approval owner and service/model-risk owner; establish RACI.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Executive Credit / Model Risk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intended/prohibited use, reviewer checklist, training and AI disclosure.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Credit Risk / Compliance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Complete representative 16-section validation, citation/factuality, moderation, bias, robustness and security testing with thresholds.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Model Validation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Change moderation failure behavior or approve an explicit fail-open exception with alerting and override controls.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Risk / Security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privacy impact/vendor/data-transfer assessment and data minimization rules.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Privacy / Legal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Define retention, provider deletion, logging, backup and legal-hold schedules.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Records / Privacy / Security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Resolve production security gaps: HTTPS/cookies, reset/throttling, CORS, SSRF/egress, malware scanning, managed secrets, durable storage and multi-worker isolation.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Security / Engineering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  <w:tr>
        <w:tc>
          <w:tcPr>
            <w:tcW w:type="dxa" w:w="50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Define monitoring SLIs/thresholds, on-call ownership, incident contacts/SLAs and rollback procedure.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Operations – TBD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TBD</w:t>
            </w:r>
          </w:p>
        </w:tc>
      </w:tr>
    </w:tbl>
    <w:p>
      <w:pPr>
        <w:spacing w:after="0"/>
      </w:pPr>
    </w:p>
    <w:p>
      <w:r>
        <w:t>Approval attestation: By signing, approvers confirm that the stated configuration and controls are accurate for the target deployment, the open items have been resolved or formally risk-accepted, evaluation evidence meets approved thresholds, and the system is authorized only for the intended supervised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Approval role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Name / title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Signature / date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Accountable approval owner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/ Reject / Conditional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Credit Risk / Business owner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/ Reject / Conditional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Independent Model Validation / Model Risk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/ Reject / Conditional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Privacy / Legal / Compliance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/ Reject / Conditional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Information Security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/ Reject / Conditional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Engineering / Service owner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Approve / Reject / Conditional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Appendix A – Evidence basis</w:t>
      </w:r>
    </w:p>
    <w:p>
      <w:r>
        <w:t>This card was prepared from the repository and local non-secret configuration. It is not a vendor model card and does not replace contractual, legal, privacy, security or independent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662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Relevant confirmation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backend/app/config.py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Configured Mistral model aliases, judge settings, limits, authentication, report masking and environment controls.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backend/app/services/mistral_library_service.py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Agent creation, scoped libraries, generation, citations, evaluation, optional judge and observability details.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backend/app/services/moderation_service.py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Moderation model/categories and fail-open behavior.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backend/app/services/ingestion_service.py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OCR model, temporary provider file deletion and local extraction fallback.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backend/app/agents/instructions.py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Section prompts and mandatory anti-hallucination/citation rules.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backend/app/telemetry.py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Dedicated Mistral telemetry with redaction enabled.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backend/app/audit.py and models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Persistent audit events, system errors, sessions and approval metadata.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architecture.md / implementation_plan.md / README.md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System/data flow, roles, source model, review lifecycle, known gaps and verification plan.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backend/requirements.txt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mistralai 2.7.2 and python-docx 1.2.0 dependency pins.</w:t>
            </w:r>
          </w:p>
        </w:tc>
      </w:tr>
      <w:tr>
        <w:tc>
          <w:tcPr>
            <w:tcW w:type="dxa" w:w="3744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backend/.env (non-secret fields only)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APP_ENV=development and judge maximum=100; no local saved judge ID identified.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– Minimum reviewer checklist</w:t>
      </w:r>
    </w:p>
    <w:p>
      <w:pPr>
        <w:pStyle w:val="ListBullet"/>
      </w:pPr>
      <w:r>
        <w:t>Correct borrower, group, deal, currency, period and document set; no cross-customer material.</w:t>
      </w:r>
    </w:p>
    <w:p>
      <w:pPr>
        <w:pStyle w:val="ListBullet"/>
      </w:pPr>
      <w:r>
        <w:t>All material figures, ratios, ratings, dates, covenants and recommendations independently checked against authoritative evidence.</w:t>
      </w:r>
    </w:p>
    <w:p>
      <w:pPr>
        <w:pStyle w:val="ListBullet"/>
      </w:pPr>
      <w:r>
        <w:t>Each material factual statement has a supporting, current citation; citation actually entails the claim.</w:t>
      </w:r>
    </w:p>
    <w:p>
      <w:pPr>
        <w:pStyle w:val="ListBullet"/>
      </w:pPr>
      <w:r>
        <w:t>Conflicts, missing data, inferred claims and unsupported claims are resolved or explicitly disclosed.</w:t>
      </w:r>
    </w:p>
    <w:p>
      <w:pPr>
        <w:pStyle w:val="ListBullet"/>
      </w:pPr>
      <w:r>
        <w:t>Calculations, units, signs, totals, table alignment and OCR-transcribed values are re-performed/verified.</w:t>
      </w:r>
    </w:p>
    <w:p>
      <w:pPr>
        <w:pStyle w:val="ListBullet"/>
      </w:pPr>
      <w:r>
        <w:t>Bias, tone, confidentiality, personal-data minimization and prohibited-use requirements are satisfied.</w:t>
      </w:r>
    </w:p>
    <w:p>
      <w:pPr>
        <w:pStyle w:val="ListBullet"/>
      </w:pPr>
      <w:r>
        <w:t>Moderation/evaluation status, confidence source, fallbacks, errors and observability warnings are reviewed.</w:t>
      </w:r>
    </w:p>
    <w:p>
      <w:pPr>
        <w:pStyle w:val="ListBullet"/>
      </w:pPr>
      <w:r>
        <w:t>Final snapshot is complete, policy-compliant, within delegated authority and suitable for the intended audience.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Controlled document • Internal use • Version 1.0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7365D"/>
      </w:rPr>
      <w:t>CREDIT DOSSIER  |  MODEL / SYSTEM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Dossier Model / System Card</dc:title>
  <dc:subject>Governance card for deployed Mistral-based Credit Dossier configuration</dc:subject>
  <dc:creator>Credit Dossier Project</dc:creator>
  <cp:keywords>model card, system card, Mistral, credit dossier, AI governance</cp:keywords>
  <dc:description>Generated from repository evidence; unresolved items require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