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r>
        <w:rPr>
          <w:rFonts w:ascii="Aptos Display" w:hAnsi="Aptos Display"/>
          <w:b/>
          <w:color w:val="17365D"/>
          <w:sz w:val="68"/>
        </w:rPr>
        <w:t>CREDIT DOSSIER</w:t>
      </w:r>
    </w:p>
    <w:p>
      <w:r>
        <w:rPr>
          <w:rFonts w:ascii="Aptos Display" w:hAnsi="Aptos Display"/>
          <w:color w:val="2F75B5"/>
          <w:sz w:val="46"/>
        </w:rPr>
        <w:t>EU AI Act Technical Documentation</w:t>
      </w:r>
    </w:p>
    <w:p>
      <w:pPr>
        <w:pStyle w:val="Subtitle"/>
      </w:pPr>
      <w:r>
        <w:t>Prepared in the structure of Regulation (EU) 2024/1689, Article 11 and Annex IV</w:t>
      </w:r>
    </w:p>
    <w:p>
      <w:r>
        <w:br/>
      </w:r>
    </w:p>
    <w:tbl>
      <w:tblPr>
        <w:tblStyle w:val="TableGrid"/>
        <w:tblW w:type="auto" w:w="0"/>
        <w:jc w:val="center"/>
        <w:tblLook w:firstColumn="1" w:firstRow="1" w:lastColumn="0" w:lastRow="0" w:noHBand="0" w:noVBand="1" w:val="04A0"/>
      </w:tblPr>
      <w:tblGrid>
        <w:gridCol w:w="5014"/>
        <w:gridCol w:w="5014"/>
      </w:tblGrid>
      <w:tr>
        <w:tc>
          <w:tcPr>
            <w:tcW w:type="dxa" w:w="2835"/>
            <w:vAlign w:val="center"/>
            <w:shd w:fill="17365D"/>
          </w:tcPr>
          <w:p>
            <w:pPr>
              <w:spacing w:after="0"/>
            </w:pPr>
            <w:r/>
            <w:r>
              <w:rPr>
                <w:rFonts w:ascii="Aptos" w:hAnsi="Aptos"/>
                <w:b/>
                <w:color w:val="FFFFFF"/>
                <w:sz w:val="18"/>
              </w:rPr>
              <w:t>Document field</w:t>
            </w:r>
          </w:p>
        </w:tc>
        <w:tc>
          <w:tcPr>
            <w:tcW w:type="dxa" w:w="6803"/>
            <w:vAlign w:val="center"/>
            <w:shd w:fill="17365D"/>
          </w:tcPr>
          <w:p>
            <w:pPr>
              <w:spacing w:after="0"/>
            </w:pPr>
            <w:r/>
            <w:r>
              <w:rPr>
                <w:rFonts w:ascii="Aptos" w:hAnsi="Aptos"/>
                <w:b/>
                <w:color w:val="FFFFFF"/>
                <w:sz w:val="18"/>
              </w:rPr>
              <w:t>Value</w:t>
            </w:r>
          </w:p>
        </w:tc>
      </w:tr>
      <w:tr>
        <w:tc>
          <w:tcPr>
            <w:tcW w:type="dxa" w:w="2835"/>
            <w:vAlign w:val="center"/>
            <w:shd w:fill="F3F6F8"/>
          </w:tcPr>
          <w:p>
            <w:pPr>
              <w:spacing w:after="0"/>
            </w:pPr>
            <w:r/>
            <w:r>
              <w:rPr>
                <w:rFonts w:ascii="Aptos" w:hAnsi="Aptos"/>
                <w:b w:val="0"/>
                <w:sz w:val="18"/>
              </w:rPr>
              <w:t>System</w:t>
            </w:r>
          </w:p>
        </w:tc>
        <w:tc>
          <w:tcPr>
            <w:tcW w:type="dxa" w:w="6803"/>
            <w:vAlign w:val="center"/>
          </w:tcPr>
          <w:p>
            <w:pPr>
              <w:spacing w:after="0"/>
            </w:pPr>
            <w:r/>
            <w:r>
              <w:rPr>
                <w:rFonts w:ascii="Aptos" w:hAnsi="Aptos"/>
                <w:b w:val="0"/>
                <w:sz w:val="18"/>
              </w:rPr>
              <w:t>Credit Dossier — AI-assisted credit pitch-book workflow</w:t>
            </w:r>
          </w:p>
        </w:tc>
      </w:tr>
      <w:tr>
        <w:tc>
          <w:tcPr>
            <w:tcW w:type="dxa" w:w="2835"/>
            <w:vAlign w:val="center"/>
            <w:shd w:fill="F3F6F8"/>
          </w:tcPr>
          <w:p>
            <w:pPr>
              <w:spacing w:after="0"/>
            </w:pPr>
            <w:r/>
            <w:r>
              <w:rPr>
                <w:rFonts w:ascii="Aptos" w:hAnsi="Aptos"/>
                <w:b w:val="0"/>
                <w:sz w:val="18"/>
              </w:rPr>
              <w:t>Document version</w:t>
            </w:r>
          </w:p>
        </w:tc>
        <w:tc>
          <w:tcPr>
            <w:tcW w:type="dxa" w:w="6803"/>
            <w:vAlign w:val="center"/>
          </w:tcPr>
          <w:p>
            <w:pPr>
              <w:spacing w:after="0"/>
            </w:pPr>
            <w:r/>
            <w:r>
              <w:rPr>
                <w:rFonts w:ascii="Aptos" w:hAnsi="Aptos"/>
                <w:b w:val="0"/>
                <w:sz w:val="18"/>
              </w:rPr>
              <w:t>1.0</w:t>
            </w:r>
          </w:p>
        </w:tc>
      </w:tr>
      <w:tr>
        <w:tc>
          <w:tcPr>
            <w:tcW w:type="dxa" w:w="2835"/>
            <w:vAlign w:val="center"/>
            <w:shd w:fill="F3F6F8"/>
          </w:tcPr>
          <w:p>
            <w:pPr>
              <w:spacing w:after="0"/>
            </w:pPr>
            <w:r/>
            <w:r>
              <w:rPr>
                <w:rFonts w:ascii="Aptos" w:hAnsi="Aptos"/>
                <w:b w:val="0"/>
                <w:sz w:val="18"/>
              </w:rPr>
              <w:t>System baseline</w:t>
            </w:r>
          </w:p>
        </w:tc>
        <w:tc>
          <w:tcPr>
            <w:tcW w:type="dxa" w:w="6803"/>
            <w:vAlign w:val="center"/>
          </w:tcPr>
          <w:p>
            <w:pPr>
              <w:spacing w:after="0"/>
            </w:pPr>
            <w:r/>
            <w:r>
              <w:rPr>
                <w:rFonts w:ascii="Aptos" w:hAnsi="Aptos"/>
                <w:b w:val="0"/>
                <w:sz w:val="18"/>
              </w:rPr>
              <w:t>Repository commit 83b8c2989f11a41605686ee31e32cbeb5eb6008c</w:t>
            </w:r>
          </w:p>
        </w:tc>
      </w:tr>
      <w:tr>
        <w:tc>
          <w:tcPr>
            <w:tcW w:type="dxa" w:w="2835"/>
            <w:vAlign w:val="center"/>
            <w:shd w:fill="F3F6F8"/>
          </w:tcPr>
          <w:p>
            <w:pPr>
              <w:spacing w:after="0"/>
            </w:pPr>
            <w:r/>
            <w:r>
              <w:rPr>
                <w:rFonts w:ascii="Aptos" w:hAnsi="Aptos"/>
                <w:b w:val="0"/>
                <w:sz w:val="18"/>
              </w:rPr>
              <w:t>Baseline date</w:t>
            </w:r>
          </w:p>
        </w:tc>
        <w:tc>
          <w:tcPr>
            <w:tcW w:type="dxa" w:w="6803"/>
            <w:vAlign w:val="center"/>
          </w:tcPr>
          <w:p>
            <w:pPr>
              <w:spacing w:after="0"/>
            </w:pPr>
            <w:r/>
            <w:r>
              <w:rPr>
                <w:rFonts w:ascii="Aptos" w:hAnsi="Aptos"/>
                <w:b w:val="0"/>
                <w:sz w:val="18"/>
              </w:rPr>
              <w:t>18 September 2026</w:t>
            </w:r>
          </w:p>
        </w:tc>
      </w:tr>
      <w:tr>
        <w:tc>
          <w:tcPr>
            <w:tcW w:type="dxa" w:w="2835"/>
            <w:vAlign w:val="center"/>
            <w:shd w:fill="F3F6F8"/>
          </w:tcPr>
          <w:p>
            <w:pPr>
              <w:spacing w:after="0"/>
            </w:pPr>
            <w:r/>
            <w:r>
              <w:rPr>
                <w:rFonts w:ascii="Aptos" w:hAnsi="Aptos"/>
                <w:b w:val="0"/>
                <w:sz w:val="18"/>
              </w:rPr>
              <w:t>Provider / legal manufacturer</w:t>
            </w:r>
          </w:p>
        </w:tc>
        <w:tc>
          <w:tcPr>
            <w:tcW w:type="dxa" w:w="6803"/>
            <w:vAlign w:val="center"/>
          </w:tcPr>
          <w:p>
            <w:pPr>
              <w:spacing w:after="0"/>
            </w:pPr>
            <w:r/>
            <w:r>
              <w:rPr>
                <w:rFonts w:ascii="Aptos" w:hAnsi="Aptos"/>
                <w:b w:val="0"/>
                <w:sz w:val="18"/>
              </w:rPr>
              <w:t>Tata Consultancy Services Limited — confirmation required by Legal/Compliance</w:t>
            </w:r>
          </w:p>
        </w:tc>
      </w:tr>
      <w:tr>
        <w:tc>
          <w:tcPr>
            <w:tcW w:type="dxa" w:w="2835"/>
            <w:vAlign w:val="center"/>
            <w:shd w:fill="F3F6F8"/>
          </w:tcPr>
          <w:p>
            <w:pPr>
              <w:spacing w:after="0"/>
            </w:pPr>
            <w:r/>
            <w:r>
              <w:rPr>
                <w:rFonts w:ascii="Aptos" w:hAnsi="Aptos"/>
                <w:b w:val="0"/>
                <w:sz w:val="18"/>
              </w:rPr>
              <w:t>Classification</w:t>
            </w:r>
          </w:p>
        </w:tc>
        <w:tc>
          <w:tcPr>
            <w:tcW w:type="dxa" w:w="6803"/>
            <w:vAlign w:val="center"/>
          </w:tcPr>
          <w:p>
            <w:pPr>
              <w:spacing w:after="0"/>
            </w:pPr>
            <w:r/>
            <w:r>
              <w:rPr>
                <w:rFonts w:ascii="Aptos" w:hAnsi="Aptos"/>
                <w:b w:val="0"/>
                <w:sz w:val="18"/>
              </w:rPr>
              <w:t>TCS Internal</w:t>
            </w:r>
          </w:p>
        </w:tc>
      </w:tr>
      <w:tr>
        <w:tc>
          <w:tcPr>
            <w:tcW w:type="dxa" w:w="2835"/>
            <w:vAlign w:val="center"/>
            <w:shd w:fill="F3F6F8"/>
          </w:tcPr>
          <w:p>
            <w:pPr>
              <w:spacing w:after="0"/>
            </w:pPr>
            <w:r/>
            <w:r>
              <w:rPr>
                <w:rFonts w:ascii="Aptos" w:hAnsi="Aptos"/>
                <w:b w:val="0"/>
                <w:sz w:val="18"/>
              </w:rPr>
              <w:t>Regulatory status</w:t>
            </w:r>
          </w:p>
        </w:tc>
        <w:tc>
          <w:tcPr>
            <w:tcW w:type="dxa" w:w="6803"/>
            <w:vAlign w:val="center"/>
          </w:tcPr>
          <w:p>
            <w:pPr>
              <w:spacing w:after="0"/>
            </w:pPr>
            <w:r/>
            <w:r>
              <w:rPr>
                <w:rFonts w:ascii="Aptos" w:hAnsi="Aptos"/>
                <w:b w:val="0"/>
                <w:sz w:val="18"/>
              </w:rPr>
              <w:t>Working technical file; not a declaration of conformity</w:t>
            </w:r>
          </w:p>
        </w:tc>
      </w:tr>
    </w:tbl>
    <w:p>
      <w:pPr>
        <w:spacing w:after="0"/>
      </w:pPr>
    </w:p>
    <w:tbl>
      <w:tblPr>
        <w:tblStyle w:val="TableGrid"/>
        <w:tblW w:type="auto" w:w="0"/>
        <w:tblLook w:firstColumn="1" w:firstRow="1" w:lastColumn="0" w:lastRow="0" w:noHBand="0" w:noVBand="1" w:val="04A0"/>
      </w:tblPr>
      <w:tblGrid>
        <w:gridCol w:w="10029"/>
      </w:tblGrid>
      <w:tr>
        <w:tc>
          <w:tcPr>
            <w:tcW w:type="dxa" w:w="10029"/>
            <w:shd w:fill="FFF2CC"/>
          </w:tcPr>
          <w:p>
            <w:r>
              <w:rPr>
                <w:b/>
              </w:rPr>
              <w:t xml:space="preserve">Important: </w:t>
            </w:r>
            <w:r>
              <w:t>This document records repository-supported facts and identifies evidence still required. It does not determine whether the system is high-risk, replace legal advice, constitute certification, or by itself demonstrate conformity.</w:t>
            </w:r>
          </w:p>
        </w:tc>
      </w:tr>
    </w:tbl>
    <w:p>
      <w:pPr>
        <w:spacing w:after="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343"/>
        <w:gridCol w:w="3343"/>
        <w:gridCol w:w="3343"/>
      </w:tblGrid>
      <w:tr>
        <w:tc>
          <w:tcPr>
            <w:tcW w:type="dxa" w:w="2268"/>
            <w:vAlign w:val="center"/>
            <w:shd w:fill="17365D"/>
          </w:tcPr>
          <w:p>
            <w:pPr>
              <w:spacing w:after="0"/>
            </w:pPr>
            <w:r/>
            <w:r>
              <w:rPr>
                <w:rFonts w:ascii="Aptos" w:hAnsi="Aptos"/>
                <w:b/>
                <w:color w:val="FFFFFF"/>
                <w:sz w:val="17"/>
              </w:rPr>
              <w:t>Role</w:t>
            </w:r>
          </w:p>
        </w:tc>
        <w:tc>
          <w:tcPr>
            <w:tcW w:type="dxa" w:w="4535"/>
            <w:vAlign w:val="center"/>
            <w:shd w:fill="17365D"/>
          </w:tcPr>
          <w:p>
            <w:pPr>
              <w:spacing w:after="0"/>
            </w:pPr>
            <w:r/>
            <w:r>
              <w:rPr>
                <w:rFonts w:ascii="Aptos" w:hAnsi="Aptos"/>
                <w:b/>
                <w:color w:val="FFFFFF"/>
                <w:sz w:val="17"/>
              </w:rPr>
              <w:t>Name / function</w:t>
            </w:r>
          </w:p>
        </w:tc>
        <w:tc>
          <w:tcPr>
            <w:tcW w:type="dxa" w:w="2835"/>
            <w:vAlign w:val="center"/>
            <w:shd w:fill="17365D"/>
          </w:tcPr>
          <w:p>
            <w:pPr>
              <w:spacing w:after="0"/>
            </w:pPr>
            <w:r/>
            <w:r>
              <w:rPr>
                <w:rFonts w:ascii="Aptos" w:hAnsi="Aptos"/>
                <w:b/>
                <w:color w:val="FFFFFF"/>
                <w:sz w:val="17"/>
              </w:rPr>
              <w:t>Status / date</w:t>
            </w:r>
          </w:p>
        </w:tc>
      </w:tr>
      <w:tr>
        <w:tc>
          <w:tcPr>
            <w:tcW w:type="dxa" w:w="2268"/>
            <w:vAlign w:val="center"/>
            <w:shd w:fill="F3F6F8"/>
          </w:tcPr>
          <w:p>
            <w:pPr>
              <w:spacing w:after="0"/>
            </w:pPr>
            <w:r/>
            <w:r>
              <w:rPr>
                <w:rFonts w:ascii="Aptos" w:hAnsi="Aptos"/>
                <w:b w:val="0"/>
                <w:sz w:val="17"/>
              </w:rPr>
              <w:t>Document owner</w:t>
            </w:r>
          </w:p>
        </w:tc>
        <w:tc>
          <w:tcPr>
            <w:tcW w:type="dxa" w:w="4535"/>
            <w:vAlign w:val="center"/>
          </w:tcPr>
          <w:p>
            <w:pPr>
              <w:spacing w:after="0"/>
            </w:pPr>
            <w:r/>
            <w:r>
              <w:rPr>
                <w:rFonts w:ascii="Aptos" w:hAnsi="Aptos"/>
                <w:b w:val="0"/>
                <w:sz w:val="17"/>
              </w:rPr>
              <w:t>TBC — Product Owner</w:t>
            </w:r>
          </w:p>
        </w:tc>
        <w:tc>
          <w:tcPr>
            <w:tcW w:type="dxa" w:w="2835"/>
            <w:vAlign w:val="center"/>
          </w:tcPr>
          <w:p>
            <w:pPr>
              <w:spacing w:after="0"/>
            </w:pPr>
            <w:r/>
            <w:r>
              <w:rPr>
                <w:rFonts w:ascii="Aptos" w:hAnsi="Aptos"/>
                <w:b w:val="0"/>
                <w:sz w:val="17"/>
              </w:rPr>
              <w:t>TBC</w:t>
            </w:r>
          </w:p>
        </w:tc>
      </w:tr>
      <w:tr>
        <w:tc>
          <w:tcPr>
            <w:tcW w:type="dxa" w:w="2268"/>
            <w:vAlign w:val="center"/>
            <w:shd w:fill="F3F6F8"/>
          </w:tcPr>
          <w:p>
            <w:pPr>
              <w:spacing w:after="0"/>
            </w:pPr>
            <w:r/>
            <w:r>
              <w:rPr>
                <w:rFonts w:ascii="Aptos" w:hAnsi="Aptos"/>
                <w:b w:val="0"/>
                <w:sz w:val="17"/>
              </w:rPr>
              <w:t>Technical owner</w:t>
            </w:r>
          </w:p>
        </w:tc>
        <w:tc>
          <w:tcPr>
            <w:tcW w:type="dxa" w:w="4535"/>
            <w:vAlign w:val="center"/>
          </w:tcPr>
          <w:p>
            <w:pPr>
              <w:spacing w:after="0"/>
            </w:pPr>
            <w:r/>
            <w:r>
              <w:rPr>
                <w:rFonts w:ascii="Aptos" w:hAnsi="Aptos"/>
                <w:b w:val="0"/>
                <w:sz w:val="17"/>
              </w:rPr>
              <w:t>TBC — Engineering Lead</w:t>
            </w:r>
          </w:p>
        </w:tc>
        <w:tc>
          <w:tcPr>
            <w:tcW w:type="dxa" w:w="2835"/>
            <w:vAlign w:val="center"/>
          </w:tcPr>
          <w:p>
            <w:pPr>
              <w:spacing w:after="0"/>
            </w:pPr>
            <w:r/>
            <w:r>
              <w:rPr>
                <w:rFonts w:ascii="Aptos" w:hAnsi="Aptos"/>
                <w:b w:val="0"/>
                <w:sz w:val="17"/>
              </w:rPr>
              <w:t>TBC</w:t>
            </w:r>
          </w:p>
        </w:tc>
      </w:tr>
      <w:tr>
        <w:tc>
          <w:tcPr>
            <w:tcW w:type="dxa" w:w="2268"/>
            <w:vAlign w:val="center"/>
            <w:shd w:fill="F3F6F8"/>
          </w:tcPr>
          <w:p>
            <w:pPr>
              <w:spacing w:after="0"/>
            </w:pPr>
            <w:r/>
            <w:r>
              <w:rPr>
                <w:rFonts w:ascii="Aptos" w:hAnsi="Aptos"/>
                <w:b w:val="0"/>
                <w:sz w:val="17"/>
              </w:rPr>
              <w:t>Risk owner</w:t>
            </w:r>
          </w:p>
        </w:tc>
        <w:tc>
          <w:tcPr>
            <w:tcW w:type="dxa" w:w="4535"/>
            <w:vAlign w:val="center"/>
          </w:tcPr>
          <w:p>
            <w:pPr>
              <w:spacing w:after="0"/>
            </w:pPr>
            <w:r/>
            <w:r>
              <w:rPr>
                <w:rFonts w:ascii="Aptos" w:hAnsi="Aptos"/>
                <w:b w:val="0"/>
                <w:sz w:val="17"/>
              </w:rPr>
              <w:t>TBC — Business / Model Risk</w:t>
            </w:r>
          </w:p>
        </w:tc>
        <w:tc>
          <w:tcPr>
            <w:tcW w:type="dxa" w:w="2835"/>
            <w:vAlign w:val="center"/>
          </w:tcPr>
          <w:p>
            <w:pPr>
              <w:spacing w:after="0"/>
            </w:pPr>
            <w:r/>
            <w:r>
              <w:rPr>
                <w:rFonts w:ascii="Aptos" w:hAnsi="Aptos"/>
                <w:b w:val="0"/>
                <w:sz w:val="17"/>
              </w:rPr>
              <w:t>TBC</w:t>
            </w:r>
          </w:p>
        </w:tc>
      </w:tr>
      <w:tr>
        <w:tc>
          <w:tcPr>
            <w:tcW w:type="dxa" w:w="2268"/>
            <w:vAlign w:val="center"/>
            <w:shd w:fill="F3F6F8"/>
          </w:tcPr>
          <w:p>
            <w:pPr>
              <w:spacing w:after="0"/>
            </w:pPr>
            <w:r/>
            <w:r>
              <w:rPr>
                <w:rFonts w:ascii="Aptos" w:hAnsi="Aptos"/>
                <w:b w:val="0"/>
                <w:sz w:val="17"/>
              </w:rPr>
              <w:t>Data protection review</w:t>
            </w:r>
          </w:p>
        </w:tc>
        <w:tc>
          <w:tcPr>
            <w:tcW w:type="dxa" w:w="4535"/>
            <w:vAlign w:val="center"/>
          </w:tcPr>
          <w:p>
            <w:pPr>
              <w:spacing w:after="0"/>
            </w:pPr>
            <w:r/>
            <w:r>
              <w:rPr>
                <w:rFonts w:ascii="Aptos" w:hAnsi="Aptos"/>
                <w:b w:val="0"/>
                <w:sz w:val="17"/>
              </w:rPr>
              <w:t>TBC — DPO / Privacy</w:t>
            </w:r>
          </w:p>
        </w:tc>
        <w:tc>
          <w:tcPr>
            <w:tcW w:type="dxa" w:w="2835"/>
            <w:vAlign w:val="center"/>
          </w:tcPr>
          <w:p>
            <w:pPr>
              <w:spacing w:after="0"/>
            </w:pPr>
            <w:r/>
            <w:r>
              <w:rPr>
                <w:rFonts w:ascii="Aptos" w:hAnsi="Aptos"/>
                <w:b w:val="0"/>
                <w:sz w:val="17"/>
              </w:rPr>
              <w:t>TBC</w:t>
            </w:r>
          </w:p>
        </w:tc>
      </w:tr>
      <w:tr>
        <w:tc>
          <w:tcPr>
            <w:tcW w:type="dxa" w:w="2268"/>
            <w:vAlign w:val="center"/>
            <w:shd w:fill="F3F6F8"/>
          </w:tcPr>
          <w:p>
            <w:pPr>
              <w:spacing w:after="0"/>
            </w:pPr>
            <w:r/>
            <w:r>
              <w:rPr>
                <w:rFonts w:ascii="Aptos" w:hAnsi="Aptos"/>
                <w:b w:val="0"/>
                <w:sz w:val="17"/>
              </w:rPr>
              <w:t>Cybersecurity review</w:t>
            </w:r>
          </w:p>
        </w:tc>
        <w:tc>
          <w:tcPr>
            <w:tcW w:type="dxa" w:w="4535"/>
            <w:vAlign w:val="center"/>
          </w:tcPr>
          <w:p>
            <w:pPr>
              <w:spacing w:after="0"/>
            </w:pPr>
            <w:r/>
            <w:r>
              <w:rPr>
                <w:rFonts w:ascii="Aptos" w:hAnsi="Aptos"/>
                <w:b w:val="0"/>
                <w:sz w:val="17"/>
              </w:rPr>
              <w:t>TBC — Information Security</w:t>
            </w:r>
          </w:p>
        </w:tc>
        <w:tc>
          <w:tcPr>
            <w:tcW w:type="dxa" w:w="2835"/>
            <w:vAlign w:val="center"/>
          </w:tcPr>
          <w:p>
            <w:pPr>
              <w:spacing w:after="0"/>
            </w:pPr>
            <w:r/>
            <w:r>
              <w:rPr>
                <w:rFonts w:ascii="Aptos" w:hAnsi="Aptos"/>
                <w:b w:val="0"/>
                <w:sz w:val="17"/>
              </w:rPr>
              <w:t>TBC</w:t>
            </w:r>
          </w:p>
        </w:tc>
      </w:tr>
      <w:tr>
        <w:tc>
          <w:tcPr>
            <w:tcW w:type="dxa" w:w="2268"/>
            <w:vAlign w:val="center"/>
            <w:shd w:fill="F3F6F8"/>
          </w:tcPr>
          <w:p>
            <w:pPr>
              <w:spacing w:after="0"/>
            </w:pPr>
            <w:r/>
            <w:r>
              <w:rPr>
                <w:rFonts w:ascii="Aptos" w:hAnsi="Aptos"/>
                <w:b w:val="0"/>
                <w:sz w:val="17"/>
              </w:rPr>
              <w:t>Legal classification review</w:t>
            </w:r>
          </w:p>
        </w:tc>
        <w:tc>
          <w:tcPr>
            <w:tcW w:type="dxa" w:w="4535"/>
            <w:vAlign w:val="center"/>
          </w:tcPr>
          <w:p>
            <w:pPr>
              <w:spacing w:after="0"/>
            </w:pPr>
            <w:r/>
            <w:r>
              <w:rPr>
                <w:rFonts w:ascii="Aptos" w:hAnsi="Aptos"/>
                <w:b w:val="0"/>
                <w:sz w:val="17"/>
              </w:rPr>
              <w:t>TBC — EU AI Act Legal/Compliance</w:t>
            </w:r>
          </w:p>
        </w:tc>
        <w:tc>
          <w:tcPr>
            <w:tcW w:type="dxa" w:w="2835"/>
            <w:vAlign w:val="center"/>
          </w:tcPr>
          <w:p>
            <w:pPr>
              <w:spacing w:after="0"/>
            </w:pPr>
            <w:r/>
            <w:r>
              <w:rPr>
                <w:rFonts w:ascii="Aptos" w:hAnsi="Aptos"/>
                <w:b w:val="0"/>
                <w:sz w:val="17"/>
              </w:rPr>
              <w:t>TBC</w:t>
            </w:r>
          </w:p>
        </w:tc>
      </w:tr>
      <w:tr>
        <w:tc>
          <w:tcPr>
            <w:tcW w:type="dxa" w:w="2268"/>
            <w:vAlign w:val="center"/>
            <w:shd w:fill="F3F6F8"/>
          </w:tcPr>
          <w:p>
            <w:pPr>
              <w:spacing w:after="0"/>
            </w:pPr>
            <w:r/>
            <w:r>
              <w:rPr>
                <w:rFonts w:ascii="Aptos" w:hAnsi="Aptos"/>
                <w:b w:val="0"/>
                <w:sz w:val="17"/>
              </w:rPr>
              <w:t>Final approval</w:t>
            </w:r>
          </w:p>
        </w:tc>
        <w:tc>
          <w:tcPr>
            <w:tcW w:type="dxa" w:w="4535"/>
            <w:vAlign w:val="center"/>
          </w:tcPr>
          <w:p>
            <w:pPr>
              <w:spacing w:after="0"/>
            </w:pPr>
            <w:r/>
            <w:r>
              <w:rPr>
                <w:rFonts w:ascii="Aptos" w:hAnsi="Aptos"/>
                <w:b w:val="0"/>
                <w:sz w:val="17"/>
              </w:rPr>
              <w:t>TBC — Accountable Executive</w:t>
            </w:r>
          </w:p>
        </w:tc>
        <w:tc>
          <w:tcPr>
            <w:tcW w:type="dxa" w:w="2835"/>
            <w:vAlign w:val="center"/>
          </w:tcPr>
          <w:p>
            <w:pPr>
              <w:spacing w:after="0"/>
            </w:pPr>
            <w:r/>
            <w:r>
              <w:rPr>
                <w:rFonts w:ascii="Aptos" w:hAnsi="Aptos"/>
                <w:b w:val="0"/>
                <w:sz w:val="17"/>
              </w:rPr>
              <w:t>TBC</w:t>
            </w:r>
          </w:p>
        </w:tc>
      </w:tr>
    </w:tbl>
    <w:p>
      <w:pPr>
        <w:spacing w:after="0"/>
      </w:pPr>
    </w:p>
    <w:p>
      <w:pPr>
        <w:pStyle w:val="Heading2"/>
      </w:pPr>
      <w:r>
        <w:t>Revision history</w:t>
      </w:r>
    </w:p>
    <w:tbl>
      <w:tblPr>
        <w:tblStyle w:val="TableGrid"/>
        <w:tblW w:type="auto" w:w="0"/>
        <w:jc w:val="center"/>
        <w:tblLook w:firstColumn="1" w:firstRow="1" w:lastColumn="0" w:lastRow="0" w:noHBand="0" w:noVBand="1" w:val="04A0"/>
      </w:tblPr>
      <w:tblGrid>
        <w:gridCol w:w="2006"/>
        <w:gridCol w:w="2006"/>
        <w:gridCol w:w="2006"/>
        <w:gridCol w:w="2006"/>
        <w:gridCol w:w="2006"/>
      </w:tblGrid>
      <w:tr>
        <w:tc>
          <w:tcPr>
            <w:tcW w:type="dxa" w:w="1134"/>
            <w:vAlign w:val="center"/>
            <w:shd w:fill="17365D"/>
          </w:tcPr>
          <w:p>
            <w:pPr>
              <w:spacing w:after="0"/>
            </w:pPr>
            <w:r/>
            <w:r>
              <w:rPr>
                <w:rFonts w:ascii="Aptos" w:hAnsi="Aptos"/>
                <w:b/>
                <w:color w:val="FFFFFF"/>
                <w:sz w:val="17"/>
              </w:rPr>
              <w:t>Version</w:t>
            </w:r>
          </w:p>
        </w:tc>
        <w:tc>
          <w:tcPr>
            <w:tcW w:type="dxa" w:w="1701"/>
            <w:vAlign w:val="center"/>
            <w:shd w:fill="17365D"/>
          </w:tcPr>
          <w:p>
            <w:pPr>
              <w:spacing w:after="0"/>
            </w:pPr>
            <w:r/>
            <w:r>
              <w:rPr>
                <w:rFonts w:ascii="Aptos" w:hAnsi="Aptos"/>
                <w:b/>
                <w:color w:val="FFFFFF"/>
                <w:sz w:val="17"/>
              </w:rPr>
              <w:t>Date</w:t>
            </w:r>
          </w:p>
        </w:tc>
        <w:tc>
          <w:tcPr>
            <w:tcW w:type="dxa" w:w="2268"/>
            <w:vAlign w:val="center"/>
            <w:shd w:fill="17365D"/>
          </w:tcPr>
          <w:p>
            <w:pPr>
              <w:spacing w:after="0"/>
            </w:pPr>
            <w:r/>
            <w:r>
              <w:rPr>
                <w:rFonts w:ascii="Aptos" w:hAnsi="Aptos"/>
                <w:b/>
                <w:color w:val="FFFFFF"/>
                <w:sz w:val="17"/>
              </w:rPr>
              <w:t>Author</w:t>
            </w:r>
          </w:p>
        </w:tc>
        <w:tc>
          <w:tcPr>
            <w:tcW w:type="dxa" w:w="3969"/>
            <w:vAlign w:val="center"/>
            <w:shd w:fill="17365D"/>
          </w:tcPr>
          <w:p>
            <w:pPr>
              <w:spacing w:after="0"/>
            </w:pPr>
            <w:r/>
            <w:r>
              <w:rPr>
                <w:rFonts w:ascii="Aptos" w:hAnsi="Aptos"/>
                <w:b/>
                <w:color w:val="FFFFFF"/>
                <w:sz w:val="17"/>
              </w:rPr>
              <w:t>Change</w:t>
            </w:r>
          </w:p>
        </w:tc>
        <w:tc>
          <w:tcPr>
            <w:tcW w:type="dxa" w:w="1134"/>
            <w:vAlign w:val="center"/>
            <w:shd w:fill="17365D"/>
          </w:tcPr>
          <w:p>
            <w:pPr>
              <w:spacing w:after="0"/>
            </w:pPr>
            <w:r/>
            <w:r>
              <w:rPr>
                <w:rFonts w:ascii="Aptos" w:hAnsi="Aptos"/>
                <w:b/>
                <w:color w:val="FFFFFF"/>
                <w:sz w:val="17"/>
              </w:rPr>
              <w:t>Approval</w:t>
            </w:r>
          </w:p>
        </w:tc>
      </w:tr>
      <w:tr>
        <w:tc>
          <w:tcPr>
            <w:tcW w:type="dxa" w:w="1134"/>
            <w:vAlign w:val="center"/>
            <w:shd w:fill="F3F6F8"/>
          </w:tcPr>
          <w:p>
            <w:pPr>
              <w:spacing w:after="0"/>
            </w:pPr>
            <w:r/>
            <w:r>
              <w:rPr>
                <w:rFonts w:ascii="Aptos" w:hAnsi="Aptos"/>
                <w:b w:val="0"/>
                <w:sz w:val="17"/>
              </w:rPr>
              <w:t>1.0</w:t>
            </w:r>
          </w:p>
        </w:tc>
        <w:tc>
          <w:tcPr>
            <w:tcW w:type="dxa" w:w="1701"/>
            <w:vAlign w:val="center"/>
          </w:tcPr>
          <w:p>
            <w:pPr>
              <w:spacing w:after="0"/>
            </w:pPr>
            <w:r/>
            <w:r>
              <w:rPr>
                <w:rFonts w:ascii="Aptos" w:hAnsi="Aptos"/>
                <w:b w:val="0"/>
                <w:sz w:val="17"/>
              </w:rPr>
              <w:t>18-Sep-2026</w:t>
            </w:r>
          </w:p>
        </w:tc>
        <w:tc>
          <w:tcPr>
            <w:tcW w:type="dxa" w:w="2268"/>
            <w:vAlign w:val="center"/>
          </w:tcPr>
          <w:p>
            <w:pPr>
              <w:spacing w:after="0"/>
            </w:pPr>
            <w:r/>
            <w:r>
              <w:rPr>
                <w:rFonts w:ascii="Aptos" w:hAnsi="Aptos"/>
                <w:b w:val="0"/>
                <w:sz w:val="17"/>
              </w:rPr>
              <w:t>Draft generated from repository evidence</w:t>
            </w:r>
          </w:p>
        </w:tc>
        <w:tc>
          <w:tcPr>
            <w:tcW w:type="dxa" w:w="3969"/>
            <w:vAlign w:val="center"/>
          </w:tcPr>
          <w:p>
            <w:pPr>
              <w:spacing w:after="0"/>
            </w:pPr>
            <w:r/>
            <w:r>
              <w:rPr>
                <w:rFonts w:ascii="Aptos" w:hAnsi="Aptos"/>
                <w:b w:val="0"/>
                <w:sz w:val="17"/>
              </w:rPr>
              <w:t>Initial Annex IV-aligned technical file</w:t>
            </w:r>
          </w:p>
        </w:tc>
        <w:tc>
          <w:tcPr>
            <w:tcW w:type="dxa" w:w="1134"/>
            <w:vAlign w:val="center"/>
          </w:tcPr>
          <w:p>
            <w:pPr>
              <w:spacing w:after="0"/>
            </w:pPr>
            <w:r/>
            <w:r>
              <w:rPr>
                <w:rFonts w:ascii="Aptos" w:hAnsi="Aptos"/>
                <w:b w:val="0"/>
                <w:sz w:val="17"/>
              </w:rPr>
              <w:t>Pending</w:t>
            </w:r>
          </w:p>
        </w:tc>
      </w:tr>
    </w:tbl>
    <w:p>
      <w:pPr>
        <w:spacing w:after="0"/>
      </w:pPr>
    </w:p>
    <w:p>
      <w:pPr>
        <w:pStyle w:val="Heading2"/>
      </w:pPr>
      <w:r>
        <w:t>Evidence status vocabulary</w:t>
      </w:r>
    </w:p>
    <w:tbl>
      <w:tblPr>
        <w:tblStyle w:val="TableGrid"/>
        <w:tblW w:type="auto" w:w="0"/>
        <w:jc w:val="center"/>
        <w:tblLook w:firstColumn="1" w:firstRow="1" w:lastColumn="0" w:lastRow="0" w:noHBand="0" w:noVBand="1" w:val="04A0"/>
      </w:tblPr>
      <w:tblGrid>
        <w:gridCol w:w="5014"/>
        <w:gridCol w:w="5014"/>
      </w:tblGrid>
      <w:tr>
        <w:tc>
          <w:tcPr>
            <w:tcW w:type="dxa" w:w="1701"/>
            <w:vAlign w:val="center"/>
            <w:shd w:fill="17365D"/>
          </w:tcPr>
          <w:p>
            <w:pPr>
              <w:spacing w:after="0"/>
            </w:pPr>
            <w:r/>
            <w:r>
              <w:rPr>
                <w:rFonts w:ascii="Aptos" w:hAnsi="Aptos"/>
                <w:b/>
                <w:color w:val="FFFFFF"/>
                <w:sz w:val="17"/>
              </w:rPr>
              <w:t>Status</w:t>
            </w:r>
          </w:p>
        </w:tc>
        <w:tc>
          <w:tcPr>
            <w:tcW w:type="dxa" w:w="7937"/>
            <w:vAlign w:val="center"/>
            <w:shd w:fill="17365D"/>
          </w:tcPr>
          <w:p>
            <w:pPr>
              <w:spacing w:after="0"/>
            </w:pPr>
            <w:r/>
            <w:r>
              <w:rPr>
                <w:rFonts w:ascii="Aptos" w:hAnsi="Aptos"/>
                <w:b/>
                <w:color w:val="FFFFFF"/>
                <w:sz w:val="17"/>
              </w:rPr>
              <w:t>Meaning</w:t>
            </w:r>
          </w:p>
        </w:tc>
      </w:tr>
      <w:tr>
        <w:tc>
          <w:tcPr>
            <w:tcW w:type="dxa" w:w="1701"/>
            <w:vAlign w:val="center"/>
            <w:shd w:fill="F3F6F8"/>
          </w:tcPr>
          <w:p>
            <w:pPr>
              <w:spacing w:after="0"/>
            </w:pPr>
            <w:r/>
            <w:r>
              <w:rPr>
                <w:rFonts w:ascii="Aptos" w:hAnsi="Aptos"/>
                <w:b w:val="0"/>
                <w:sz w:val="17"/>
              </w:rPr>
              <w:t>Implemented</w:t>
            </w:r>
          </w:p>
        </w:tc>
        <w:tc>
          <w:tcPr>
            <w:tcW w:type="dxa" w:w="7937"/>
            <w:vAlign w:val="center"/>
          </w:tcPr>
          <w:p>
            <w:pPr>
              <w:spacing w:after="0"/>
            </w:pPr>
            <w:r/>
            <w:r>
              <w:rPr>
                <w:rFonts w:ascii="Aptos" w:hAnsi="Aptos"/>
                <w:b w:val="0"/>
                <w:sz w:val="17"/>
              </w:rPr>
              <w:t>Supported by the inspected repository documentation or code baseline.</w:t>
            </w:r>
          </w:p>
        </w:tc>
      </w:tr>
      <w:tr>
        <w:tc>
          <w:tcPr>
            <w:tcW w:type="dxa" w:w="1701"/>
            <w:vAlign w:val="center"/>
            <w:shd w:fill="F3F6F8"/>
          </w:tcPr>
          <w:p>
            <w:pPr>
              <w:spacing w:after="0"/>
            </w:pPr>
            <w:r/>
            <w:r>
              <w:rPr>
                <w:rFonts w:ascii="Aptos" w:hAnsi="Aptos"/>
                <w:b w:val="0"/>
                <w:sz w:val="17"/>
              </w:rPr>
              <w:t>Partial</w:t>
            </w:r>
          </w:p>
        </w:tc>
        <w:tc>
          <w:tcPr>
            <w:tcW w:type="dxa" w:w="7937"/>
            <w:vAlign w:val="center"/>
          </w:tcPr>
          <w:p>
            <w:pPr>
              <w:spacing w:after="0"/>
            </w:pPr>
            <w:r/>
            <w:r>
              <w:rPr>
                <w:rFonts w:ascii="Aptos" w:hAnsi="Aptos"/>
                <w:b w:val="0"/>
                <w:sz w:val="17"/>
              </w:rPr>
              <w:t>Some mechanism exists, but production evidence, coverage, or control maturity is incomplete.</w:t>
            </w:r>
          </w:p>
        </w:tc>
      </w:tr>
      <w:tr>
        <w:tc>
          <w:tcPr>
            <w:tcW w:type="dxa" w:w="1701"/>
            <w:vAlign w:val="center"/>
            <w:shd w:fill="F3F6F8"/>
          </w:tcPr>
          <w:p>
            <w:pPr>
              <w:spacing w:after="0"/>
            </w:pPr>
            <w:r/>
            <w:r>
              <w:rPr>
                <w:rFonts w:ascii="Aptos" w:hAnsi="Aptos"/>
                <w:b w:val="0"/>
                <w:sz w:val="17"/>
              </w:rPr>
              <w:t>Planned</w:t>
            </w:r>
          </w:p>
        </w:tc>
        <w:tc>
          <w:tcPr>
            <w:tcW w:type="dxa" w:w="7937"/>
            <w:vAlign w:val="center"/>
          </w:tcPr>
          <w:p>
            <w:pPr>
              <w:spacing w:after="0"/>
            </w:pPr>
            <w:r/>
            <w:r>
              <w:rPr>
                <w:rFonts w:ascii="Aptos" w:hAnsi="Aptos"/>
                <w:b w:val="0"/>
                <w:sz w:val="17"/>
              </w:rPr>
              <w:t>Recorded in the implementation plan but not represented as complete.</w:t>
            </w:r>
          </w:p>
        </w:tc>
      </w:tr>
      <w:tr>
        <w:tc>
          <w:tcPr>
            <w:tcW w:type="dxa" w:w="1701"/>
            <w:vAlign w:val="center"/>
            <w:shd w:fill="F3F6F8"/>
          </w:tcPr>
          <w:p>
            <w:pPr>
              <w:spacing w:after="0"/>
            </w:pPr>
            <w:r/>
            <w:r>
              <w:rPr>
                <w:rFonts w:ascii="Aptos" w:hAnsi="Aptos"/>
                <w:b w:val="0"/>
                <w:sz w:val="17"/>
              </w:rPr>
              <w:t>TBC</w:t>
            </w:r>
          </w:p>
        </w:tc>
        <w:tc>
          <w:tcPr>
            <w:tcW w:type="dxa" w:w="7937"/>
            <w:vAlign w:val="center"/>
          </w:tcPr>
          <w:p>
            <w:pPr>
              <w:spacing w:after="0"/>
            </w:pPr>
            <w:r/>
            <w:r>
              <w:rPr>
                <w:rFonts w:ascii="Aptos" w:hAnsi="Aptos"/>
                <w:b w:val="0"/>
                <w:sz w:val="17"/>
              </w:rPr>
              <w:t>Owner must confirm or supply evidence; no claim of completion is made.</w:t>
            </w:r>
          </w:p>
        </w:tc>
      </w:tr>
      <w:tr>
        <w:tc>
          <w:tcPr>
            <w:tcW w:type="dxa" w:w="1701"/>
            <w:vAlign w:val="center"/>
            <w:shd w:fill="F3F6F8"/>
          </w:tcPr>
          <w:p>
            <w:pPr>
              <w:spacing w:after="0"/>
            </w:pPr>
            <w:r/>
            <w:r>
              <w:rPr>
                <w:rFonts w:ascii="Aptos" w:hAnsi="Aptos"/>
                <w:b w:val="0"/>
                <w:sz w:val="17"/>
              </w:rPr>
              <w:t>N/A</w:t>
            </w:r>
          </w:p>
        </w:tc>
        <w:tc>
          <w:tcPr>
            <w:tcW w:type="dxa" w:w="7937"/>
            <w:vAlign w:val="center"/>
          </w:tcPr>
          <w:p>
            <w:pPr>
              <w:spacing w:after="0"/>
            </w:pPr>
            <w:r/>
            <w:r>
              <w:rPr>
                <w:rFonts w:ascii="Aptos" w:hAnsi="Aptos"/>
                <w:b w:val="0"/>
                <w:sz w:val="17"/>
              </w:rPr>
              <w:t>Not applicable, with rationale to be approved.</w:t>
            </w:r>
          </w:p>
        </w:tc>
      </w:tr>
    </w:tbl>
    <w:p>
      <w:pPr>
        <w:spacing w:after="0"/>
      </w:pPr>
    </w:p>
    <w:p>
      <w:pPr>
        <w:pStyle w:val="Heading2"/>
      </w:pPr>
      <w:r>
        <w:t>Approval record</w:t>
      </w:r>
    </w:p>
    <w:tbl>
      <w:tblPr>
        <w:tblStyle w:val="TableGrid"/>
        <w:tblW w:type="auto" w:w="0"/>
        <w:jc w:val="center"/>
        <w:tblLook w:firstColumn="1" w:firstRow="1" w:lastColumn="0" w:lastRow="0" w:noHBand="0" w:noVBand="1" w:val="04A0"/>
      </w:tblPr>
      <w:tblGrid>
        <w:gridCol w:w="2006"/>
        <w:gridCol w:w="2006"/>
        <w:gridCol w:w="2006"/>
        <w:gridCol w:w="2006"/>
        <w:gridCol w:w="2006"/>
      </w:tblGrid>
      <w:tr>
        <w:tc>
          <w:tcPr>
            <w:tcW w:type="dxa" w:w="1701"/>
            <w:vAlign w:val="center"/>
            <w:shd w:fill="17365D"/>
          </w:tcPr>
          <w:p>
            <w:pPr>
              <w:spacing w:after="0"/>
            </w:pPr>
            <w:r/>
            <w:r>
              <w:rPr>
                <w:rFonts w:ascii="Aptos" w:hAnsi="Aptos"/>
                <w:b/>
                <w:color w:val="FFFFFF"/>
                <w:sz w:val="17"/>
              </w:rPr>
              <w:t>Approver</w:t>
            </w:r>
          </w:p>
        </w:tc>
        <w:tc>
          <w:tcPr>
            <w:tcW w:type="dxa" w:w="2268"/>
            <w:vAlign w:val="center"/>
            <w:shd w:fill="17365D"/>
          </w:tcPr>
          <w:p>
            <w:pPr>
              <w:spacing w:after="0"/>
            </w:pPr>
            <w:r/>
            <w:r>
              <w:rPr>
                <w:rFonts w:ascii="Aptos" w:hAnsi="Aptos"/>
                <w:b/>
                <w:color w:val="FFFFFF"/>
                <w:sz w:val="17"/>
              </w:rPr>
              <w:t>Function</w:t>
            </w:r>
          </w:p>
        </w:tc>
        <w:tc>
          <w:tcPr>
            <w:tcW w:type="dxa" w:w="2268"/>
            <w:vAlign w:val="center"/>
            <w:shd w:fill="17365D"/>
          </w:tcPr>
          <w:p>
            <w:pPr>
              <w:spacing w:after="0"/>
            </w:pPr>
            <w:r/>
            <w:r>
              <w:rPr>
                <w:rFonts w:ascii="Aptos" w:hAnsi="Aptos"/>
                <w:b/>
                <w:color w:val="FFFFFF"/>
                <w:sz w:val="17"/>
              </w:rPr>
              <w:t>Decision</w:t>
            </w:r>
          </w:p>
        </w:tc>
        <w:tc>
          <w:tcPr>
            <w:tcW w:type="dxa" w:w="2268"/>
            <w:vAlign w:val="center"/>
            <w:shd w:fill="17365D"/>
          </w:tcPr>
          <w:p>
            <w:pPr>
              <w:spacing w:after="0"/>
            </w:pPr>
            <w:r/>
            <w:r>
              <w:rPr>
                <w:rFonts w:ascii="Aptos" w:hAnsi="Aptos"/>
                <w:b/>
                <w:color w:val="FFFFFF"/>
                <w:sz w:val="17"/>
              </w:rPr>
              <w:t>Signature / date</w:t>
            </w:r>
          </w:p>
        </w:tc>
        <w:tc>
          <w:tcPr>
            <w:tcW w:type="dxa" w:w="2268"/>
            <w:vAlign w:val="center"/>
            <w:shd w:fill="17365D"/>
          </w:tcPr>
          <w:p>
            <w:pPr>
              <w:spacing w:after="0"/>
            </w:pPr>
            <w:r/>
            <w:r>
              <w:rPr>
                <w:rFonts w:ascii="Aptos" w:hAnsi="Aptos"/>
                <w:b/>
                <w:color w:val="FFFFFF"/>
                <w:sz w:val="17"/>
              </w:rPr>
              <w:t>Conditions</w:t>
            </w:r>
          </w:p>
        </w:tc>
      </w:tr>
      <w:tr>
        <w:tc>
          <w:tcPr>
            <w:tcW w:type="dxa" w:w="1701"/>
            <w:vAlign w:val="center"/>
            <w:shd w:fill="F3F6F8"/>
          </w:tcPr>
          <w:p>
            <w:pPr>
              <w:spacing w:after="0"/>
            </w:pPr>
            <w:r/>
            <w:r>
              <w:rPr>
                <w:rFonts w:ascii="Aptos" w:hAnsi="Aptos"/>
                <w:b w:val="0"/>
                <w:sz w:val="17"/>
              </w:rPr>
              <w:t>TBC</w:t>
            </w:r>
          </w:p>
        </w:tc>
        <w:tc>
          <w:tcPr>
            <w:tcW w:type="dxa" w:w="2268"/>
            <w:vAlign w:val="center"/>
          </w:tcPr>
          <w:p>
            <w:pPr>
              <w:spacing w:after="0"/>
            </w:pPr>
            <w:r/>
            <w:r>
              <w:rPr>
                <w:rFonts w:ascii="Aptos" w:hAnsi="Aptos"/>
                <w:b w:val="0"/>
                <w:sz w:val="17"/>
              </w:rPr>
              <w:t>Legal/Compliance</w:t>
            </w:r>
          </w:p>
        </w:tc>
        <w:tc>
          <w:tcPr>
            <w:tcW w:type="dxa" w:w="2268"/>
            <w:vAlign w:val="center"/>
          </w:tcPr>
          <w:p>
            <w:pPr>
              <w:spacing w:after="0"/>
            </w:pPr>
            <w:r/>
            <w:r>
              <w:rPr>
                <w:rFonts w:ascii="Aptos" w:hAnsi="Aptos"/>
                <w:b w:val="0"/>
                <w:sz w:val="17"/>
              </w:rPr>
              <w:t>☐ Approve  ☐ Reject</w:t>
            </w:r>
          </w:p>
        </w:tc>
        <w:tc>
          <w:tcPr>
            <w:tcW w:type="dxa" w:w="2268"/>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TBC</w:t>
            </w:r>
          </w:p>
        </w:tc>
      </w:tr>
      <w:tr>
        <w:tc>
          <w:tcPr>
            <w:tcW w:type="dxa" w:w="1701"/>
            <w:vAlign w:val="center"/>
            <w:shd w:fill="F3F6F8"/>
          </w:tcPr>
          <w:p>
            <w:pPr>
              <w:spacing w:after="0"/>
            </w:pPr>
            <w:r/>
            <w:r>
              <w:rPr>
                <w:rFonts w:ascii="Aptos" w:hAnsi="Aptos"/>
                <w:b w:val="0"/>
                <w:sz w:val="17"/>
              </w:rPr>
              <w:t>TBC</w:t>
            </w:r>
          </w:p>
        </w:tc>
        <w:tc>
          <w:tcPr>
            <w:tcW w:type="dxa" w:w="2268"/>
            <w:vAlign w:val="center"/>
          </w:tcPr>
          <w:p>
            <w:pPr>
              <w:spacing w:after="0"/>
            </w:pPr>
            <w:r/>
            <w:r>
              <w:rPr>
                <w:rFonts w:ascii="Aptos" w:hAnsi="Aptos"/>
                <w:b w:val="0"/>
                <w:sz w:val="17"/>
              </w:rPr>
              <w:t>Information Security</w:t>
            </w:r>
          </w:p>
        </w:tc>
        <w:tc>
          <w:tcPr>
            <w:tcW w:type="dxa" w:w="2268"/>
            <w:vAlign w:val="center"/>
          </w:tcPr>
          <w:p>
            <w:pPr>
              <w:spacing w:after="0"/>
            </w:pPr>
            <w:r/>
            <w:r>
              <w:rPr>
                <w:rFonts w:ascii="Aptos" w:hAnsi="Aptos"/>
                <w:b w:val="0"/>
                <w:sz w:val="17"/>
              </w:rPr>
              <w:t>☐ Approve  ☐ Reject</w:t>
            </w:r>
          </w:p>
        </w:tc>
        <w:tc>
          <w:tcPr>
            <w:tcW w:type="dxa" w:w="2268"/>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TBC</w:t>
            </w:r>
          </w:p>
        </w:tc>
      </w:tr>
      <w:tr>
        <w:tc>
          <w:tcPr>
            <w:tcW w:type="dxa" w:w="1701"/>
            <w:vAlign w:val="center"/>
            <w:shd w:fill="F3F6F8"/>
          </w:tcPr>
          <w:p>
            <w:pPr>
              <w:spacing w:after="0"/>
            </w:pPr>
            <w:r/>
            <w:r>
              <w:rPr>
                <w:rFonts w:ascii="Aptos" w:hAnsi="Aptos"/>
                <w:b w:val="0"/>
                <w:sz w:val="17"/>
              </w:rPr>
              <w:t>TBC</w:t>
            </w:r>
          </w:p>
        </w:tc>
        <w:tc>
          <w:tcPr>
            <w:tcW w:type="dxa" w:w="2268"/>
            <w:vAlign w:val="center"/>
          </w:tcPr>
          <w:p>
            <w:pPr>
              <w:spacing w:after="0"/>
            </w:pPr>
            <w:r/>
            <w:r>
              <w:rPr>
                <w:rFonts w:ascii="Aptos" w:hAnsi="Aptos"/>
                <w:b w:val="0"/>
                <w:sz w:val="17"/>
              </w:rPr>
              <w:t>Model Risk</w:t>
            </w:r>
          </w:p>
        </w:tc>
        <w:tc>
          <w:tcPr>
            <w:tcW w:type="dxa" w:w="2268"/>
            <w:vAlign w:val="center"/>
          </w:tcPr>
          <w:p>
            <w:pPr>
              <w:spacing w:after="0"/>
            </w:pPr>
            <w:r/>
            <w:r>
              <w:rPr>
                <w:rFonts w:ascii="Aptos" w:hAnsi="Aptos"/>
                <w:b w:val="0"/>
                <w:sz w:val="17"/>
              </w:rPr>
              <w:t>☐ Approve  ☐ Reject</w:t>
            </w:r>
          </w:p>
        </w:tc>
        <w:tc>
          <w:tcPr>
            <w:tcW w:type="dxa" w:w="2268"/>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TBC</w:t>
            </w:r>
          </w:p>
        </w:tc>
      </w:tr>
      <w:tr>
        <w:tc>
          <w:tcPr>
            <w:tcW w:type="dxa" w:w="1701"/>
            <w:vAlign w:val="center"/>
            <w:shd w:fill="F3F6F8"/>
          </w:tcPr>
          <w:p>
            <w:pPr>
              <w:spacing w:after="0"/>
            </w:pPr>
            <w:r/>
            <w:r>
              <w:rPr>
                <w:rFonts w:ascii="Aptos" w:hAnsi="Aptos"/>
                <w:b w:val="0"/>
                <w:sz w:val="17"/>
              </w:rPr>
              <w:t>TBC</w:t>
            </w:r>
          </w:p>
        </w:tc>
        <w:tc>
          <w:tcPr>
            <w:tcW w:type="dxa" w:w="2268"/>
            <w:vAlign w:val="center"/>
          </w:tcPr>
          <w:p>
            <w:pPr>
              <w:spacing w:after="0"/>
            </w:pPr>
            <w:r/>
            <w:r>
              <w:rPr>
                <w:rFonts w:ascii="Aptos" w:hAnsi="Aptos"/>
                <w:b w:val="0"/>
                <w:sz w:val="17"/>
              </w:rPr>
              <w:t>Business Owner</w:t>
            </w:r>
          </w:p>
        </w:tc>
        <w:tc>
          <w:tcPr>
            <w:tcW w:type="dxa" w:w="2268"/>
            <w:vAlign w:val="center"/>
          </w:tcPr>
          <w:p>
            <w:pPr>
              <w:spacing w:after="0"/>
            </w:pPr>
            <w:r/>
            <w:r>
              <w:rPr>
                <w:rFonts w:ascii="Aptos" w:hAnsi="Aptos"/>
                <w:b w:val="0"/>
                <w:sz w:val="17"/>
              </w:rPr>
              <w:t>☐ Approve  ☐ Reject</w:t>
            </w:r>
          </w:p>
        </w:tc>
        <w:tc>
          <w:tcPr>
            <w:tcW w:type="dxa" w:w="2268"/>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TBC</w:t>
            </w:r>
          </w:p>
        </w:tc>
      </w:tr>
    </w:tbl>
    <w:p>
      <w:pPr>
        <w:spacing w:after="0"/>
      </w:pPr>
    </w:p>
    <w:p>
      <w:r>
        <w:br w:type="page"/>
      </w:r>
    </w:p>
    <w:p>
      <w:pPr>
        <w:pStyle w:val="Heading1"/>
      </w:pPr>
      <w:r>
        <w:t>Table of contents</w:t>
      </w:r>
    </w:p>
    <w:p>
      <w:r>
        <w:fldChar w:fldCharType="begin"/>
        <w:instrText xml:space="preserve">TOC \o "1-3" \h \z \u</w:instrText>
        <w:fldChar w:fldCharType="separate"/>
        <w:fldChar w:fldCharType="end"/>
      </w:r>
    </w:p>
    <w:p>
      <w:r>
        <w:t>In Microsoft Word, right-click the table above and choose Update Field → Update entire table.</w:t>
      </w:r>
    </w:p>
    <w:p>
      <w:pPr>
        <w:pStyle w:val="Heading1"/>
      </w:pPr>
      <w:r>
        <w:t>Executive compliance summary</w:t>
      </w:r>
    </w:p>
    <w:p>
      <w:r>
        <w:t>Credit Dossier assists relationship managers and credit analysts in preparing and reviewing credit pitch books. It uses third-party Mistral services for agents, retrieval, moderation, OCR and evaluation; a local Model Context Protocol (MCP) service; two PostgreSQL data stores; and a React/FastAPI application. Outputs support professional analysis and are subject to user review and an approval workflow. The application must not be represented as autonomous credit approval or as a substitute for accountable human judgment.</w:t>
      </w:r>
    </w:p>
    <w:tbl>
      <w:tblPr>
        <w:tblStyle w:val="TableGrid"/>
        <w:tblW w:type="auto" w:w="0"/>
        <w:jc w:val="center"/>
        <w:tblLook w:firstColumn="1" w:firstRow="1" w:lastColumn="0" w:lastRow="0" w:noHBand="0" w:noVBand="1" w:val="04A0"/>
      </w:tblPr>
      <w:tblGrid>
        <w:gridCol w:w="3343"/>
        <w:gridCol w:w="3343"/>
        <w:gridCol w:w="3343"/>
      </w:tblGrid>
      <w:tr>
        <w:tc>
          <w:tcPr>
            <w:tcW w:type="dxa" w:w="2835"/>
            <w:vAlign w:val="center"/>
            <w:shd w:fill="17365D"/>
          </w:tcPr>
          <w:p>
            <w:pPr>
              <w:spacing w:after="0"/>
            </w:pPr>
            <w:r/>
            <w:r>
              <w:rPr>
                <w:rFonts w:ascii="Aptos" w:hAnsi="Aptos"/>
                <w:b/>
                <w:color w:val="FFFFFF"/>
                <w:sz w:val="17"/>
              </w:rPr>
              <w:t>Annex IV area</w:t>
            </w:r>
          </w:p>
        </w:tc>
        <w:tc>
          <w:tcPr>
            <w:tcW w:type="dxa" w:w="1417"/>
            <w:vAlign w:val="center"/>
            <w:shd w:fill="17365D"/>
          </w:tcPr>
          <w:p>
            <w:pPr>
              <w:spacing w:after="0"/>
            </w:pPr>
            <w:r/>
            <w:r>
              <w:rPr>
                <w:rFonts w:ascii="Aptos" w:hAnsi="Aptos"/>
                <w:b/>
                <w:color w:val="FFFFFF"/>
                <w:sz w:val="17"/>
              </w:rPr>
              <w:t>Current status</w:t>
            </w:r>
          </w:p>
        </w:tc>
        <w:tc>
          <w:tcPr>
            <w:tcW w:type="dxa" w:w="5953"/>
            <w:vAlign w:val="center"/>
            <w:shd w:fill="17365D"/>
          </w:tcPr>
          <w:p>
            <w:pPr>
              <w:spacing w:after="0"/>
            </w:pPr>
            <w:r/>
            <w:r>
              <w:rPr>
                <w:rFonts w:ascii="Aptos" w:hAnsi="Aptos"/>
                <w:b/>
                <w:color w:val="FFFFFF"/>
                <w:sz w:val="17"/>
              </w:rPr>
              <w:t>Key action before conformity claim</w:t>
            </w:r>
          </w:p>
        </w:tc>
      </w:tr>
      <w:tr>
        <w:tc>
          <w:tcPr>
            <w:tcW w:type="dxa" w:w="2835"/>
            <w:vAlign w:val="center"/>
            <w:shd w:fill="F3F6F8"/>
          </w:tcPr>
          <w:p>
            <w:pPr>
              <w:spacing w:after="0"/>
            </w:pPr>
            <w:r/>
            <w:r>
              <w:rPr>
                <w:rFonts w:ascii="Aptos" w:hAnsi="Aptos"/>
                <w:b w:val="0"/>
                <w:sz w:val="17"/>
              </w:rPr>
              <w:t>General description</w:t>
            </w:r>
          </w:p>
        </w:tc>
        <w:tc>
          <w:tcPr>
            <w:tcW w:type="dxa" w:w="1417"/>
            <w:vAlign w:val="center"/>
          </w:tcPr>
          <w:p>
            <w:pPr>
              <w:spacing w:after="0"/>
            </w:pPr>
            <w:r/>
            <w:r>
              <w:rPr>
                <w:rFonts w:ascii="Aptos" w:hAnsi="Aptos"/>
                <w:b w:val="0"/>
                <w:sz w:val="17"/>
              </w:rPr>
              <w:t>Partial</w:t>
            </w:r>
          </w:p>
        </w:tc>
        <w:tc>
          <w:tcPr>
            <w:tcW w:type="dxa" w:w="5953"/>
            <w:vAlign w:val="center"/>
          </w:tcPr>
          <w:p>
            <w:pPr>
              <w:spacing w:after="0"/>
            </w:pPr>
            <w:r/>
            <w:r>
              <w:rPr>
                <w:rFonts w:ascii="Aptos" w:hAnsi="Aptos"/>
                <w:b w:val="0"/>
                <w:sz w:val="17"/>
              </w:rPr>
              <w:t>Confirm legal provider, deployment form, production hardware and instructions-for-use owner.</w:t>
            </w:r>
          </w:p>
        </w:tc>
      </w:tr>
      <w:tr>
        <w:tc>
          <w:tcPr>
            <w:tcW w:type="dxa" w:w="2835"/>
            <w:vAlign w:val="center"/>
            <w:shd w:fill="F3F6F8"/>
          </w:tcPr>
          <w:p>
            <w:pPr>
              <w:spacing w:after="0"/>
            </w:pPr>
            <w:r/>
            <w:r>
              <w:rPr>
                <w:rFonts w:ascii="Aptos" w:hAnsi="Aptos"/>
                <w:b w:val="0"/>
                <w:sz w:val="17"/>
              </w:rPr>
              <w:t>Development, architecture and inputs</w:t>
            </w:r>
          </w:p>
        </w:tc>
        <w:tc>
          <w:tcPr>
            <w:tcW w:type="dxa" w:w="1417"/>
            <w:vAlign w:val="center"/>
          </w:tcPr>
          <w:p>
            <w:pPr>
              <w:spacing w:after="0"/>
            </w:pPr>
            <w:r/>
            <w:r>
              <w:rPr>
                <w:rFonts w:ascii="Aptos" w:hAnsi="Aptos"/>
                <w:b w:val="0"/>
                <w:sz w:val="17"/>
              </w:rPr>
              <w:t>Partial</w:t>
            </w:r>
          </w:p>
        </w:tc>
        <w:tc>
          <w:tcPr>
            <w:tcW w:type="dxa" w:w="5953"/>
            <w:vAlign w:val="center"/>
          </w:tcPr>
          <w:p>
            <w:pPr>
              <w:spacing w:after="0"/>
            </w:pPr>
            <w:r/>
            <w:r>
              <w:rPr>
                <w:rFonts w:ascii="Aptos" w:hAnsi="Aptos"/>
                <w:b w:val="0"/>
                <w:sz w:val="17"/>
              </w:rPr>
              <w:t>Freeze model/prompt versions; complete data provenance and production configuration records.</w:t>
            </w:r>
          </w:p>
        </w:tc>
      </w:tr>
      <w:tr>
        <w:tc>
          <w:tcPr>
            <w:tcW w:type="dxa" w:w="2835"/>
            <w:vAlign w:val="center"/>
            <w:shd w:fill="F3F6F8"/>
          </w:tcPr>
          <w:p>
            <w:pPr>
              <w:spacing w:after="0"/>
            </w:pPr>
            <w:r/>
            <w:r>
              <w:rPr>
                <w:rFonts w:ascii="Aptos" w:hAnsi="Aptos"/>
                <w:b w:val="0"/>
                <w:sz w:val="17"/>
              </w:rPr>
              <w:t>Monitoring, limitations and oversight</w:t>
            </w:r>
          </w:p>
        </w:tc>
        <w:tc>
          <w:tcPr>
            <w:tcW w:type="dxa" w:w="1417"/>
            <w:vAlign w:val="center"/>
          </w:tcPr>
          <w:p>
            <w:pPr>
              <w:spacing w:after="0"/>
            </w:pPr>
            <w:r/>
            <w:r>
              <w:rPr>
                <w:rFonts w:ascii="Aptos" w:hAnsi="Aptos"/>
                <w:b w:val="0"/>
                <w:sz w:val="17"/>
              </w:rPr>
              <w:t>Partial</w:t>
            </w:r>
          </w:p>
        </w:tc>
        <w:tc>
          <w:tcPr>
            <w:tcW w:type="dxa" w:w="5953"/>
            <w:vAlign w:val="center"/>
          </w:tcPr>
          <w:p>
            <w:pPr>
              <w:spacing w:after="0"/>
            </w:pPr>
            <w:r/>
            <w:r>
              <w:rPr>
                <w:rFonts w:ascii="Aptos" w:hAnsi="Aptos"/>
                <w:b w:val="0"/>
                <w:sz w:val="17"/>
              </w:rPr>
              <w:t>Approve use boundaries, group-specific performance criteria, override/escalation procedure and monitoring thresholds.</w:t>
            </w:r>
          </w:p>
        </w:tc>
      </w:tr>
      <w:tr>
        <w:tc>
          <w:tcPr>
            <w:tcW w:type="dxa" w:w="2835"/>
            <w:vAlign w:val="center"/>
            <w:shd w:fill="F3F6F8"/>
          </w:tcPr>
          <w:p>
            <w:pPr>
              <w:spacing w:after="0"/>
            </w:pPr>
            <w:r/>
            <w:r>
              <w:rPr>
                <w:rFonts w:ascii="Aptos" w:hAnsi="Aptos"/>
                <w:b w:val="0"/>
                <w:sz w:val="17"/>
              </w:rPr>
              <w:t>Performance and validation</w:t>
            </w:r>
          </w:p>
        </w:tc>
        <w:tc>
          <w:tcPr>
            <w:tcW w:type="dxa" w:w="1417"/>
            <w:vAlign w:val="center"/>
          </w:tcPr>
          <w:p>
            <w:pPr>
              <w:spacing w:after="0"/>
            </w:pPr>
            <w:r/>
            <w:r>
              <w:rPr>
                <w:rFonts w:ascii="Aptos" w:hAnsi="Aptos"/>
                <w:b w:val="0"/>
                <w:sz w:val="17"/>
              </w:rPr>
              <w:t>Partial</w:t>
            </w:r>
          </w:p>
        </w:tc>
        <w:tc>
          <w:tcPr>
            <w:tcW w:type="dxa" w:w="5953"/>
            <w:vAlign w:val="center"/>
          </w:tcPr>
          <w:p>
            <w:pPr>
              <w:spacing w:after="0"/>
            </w:pPr>
            <w:r/>
            <w:r>
              <w:rPr>
                <w:rFonts w:ascii="Aptos" w:hAnsi="Aptos"/>
                <w:b w:val="0"/>
                <w:sz w:val="17"/>
              </w:rPr>
              <w:t>Execute signed validation against a representative labeled corpus; retain logs and reports.</w:t>
            </w:r>
          </w:p>
        </w:tc>
      </w:tr>
      <w:tr>
        <w:tc>
          <w:tcPr>
            <w:tcW w:type="dxa" w:w="2835"/>
            <w:vAlign w:val="center"/>
            <w:shd w:fill="F3F6F8"/>
          </w:tcPr>
          <w:p>
            <w:pPr>
              <w:spacing w:after="0"/>
            </w:pPr>
            <w:r/>
            <w:r>
              <w:rPr>
                <w:rFonts w:ascii="Aptos" w:hAnsi="Aptos"/>
                <w:b w:val="0"/>
                <w:sz w:val="17"/>
              </w:rPr>
              <w:t>Risk management</w:t>
            </w:r>
          </w:p>
        </w:tc>
        <w:tc>
          <w:tcPr>
            <w:tcW w:type="dxa" w:w="1417"/>
            <w:vAlign w:val="center"/>
          </w:tcPr>
          <w:p>
            <w:pPr>
              <w:spacing w:after="0"/>
            </w:pPr>
            <w:r/>
            <w:r>
              <w:rPr>
                <w:rFonts w:ascii="Aptos" w:hAnsi="Aptos"/>
                <w:b w:val="0"/>
                <w:sz w:val="17"/>
              </w:rPr>
              <w:t>Partial</w:t>
            </w:r>
          </w:p>
        </w:tc>
        <w:tc>
          <w:tcPr>
            <w:tcW w:type="dxa" w:w="5953"/>
            <w:vAlign w:val="center"/>
          </w:tcPr>
          <w:p>
            <w:pPr>
              <w:spacing w:after="0"/>
            </w:pPr>
            <w:r/>
            <w:r>
              <w:rPr>
                <w:rFonts w:ascii="Aptos" w:hAnsi="Aptos"/>
                <w:b w:val="0"/>
                <w:sz w:val="17"/>
              </w:rPr>
              <w:t>Complete formal risk register, residual-risk acceptance and FRIA/DPIA applicability decisions.</w:t>
            </w:r>
          </w:p>
        </w:tc>
      </w:tr>
      <w:tr>
        <w:tc>
          <w:tcPr>
            <w:tcW w:type="dxa" w:w="2835"/>
            <w:vAlign w:val="center"/>
            <w:shd w:fill="F3F6F8"/>
          </w:tcPr>
          <w:p>
            <w:pPr>
              <w:spacing w:after="0"/>
            </w:pPr>
            <w:r/>
            <w:r>
              <w:rPr>
                <w:rFonts w:ascii="Aptos" w:hAnsi="Aptos"/>
                <w:b w:val="0"/>
                <w:sz w:val="17"/>
              </w:rPr>
              <w:t>Lifecycle changes</w:t>
            </w:r>
          </w:p>
        </w:tc>
        <w:tc>
          <w:tcPr>
            <w:tcW w:type="dxa" w:w="1417"/>
            <w:vAlign w:val="center"/>
          </w:tcPr>
          <w:p>
            <w:pPr>
              <w:spacing w:after="0"/>
            </w:pPr>
            <w:r/>
            <w:r>
              <w:rPr>
                <w:rFonts w:ascii="Aptos" w:hAnsi="Aptos"/>
                <w:b w:val="0"/>
                <w:sz w:val="17"/>
              </w:rPr>
              <w:t>Partial</w:t>
            </w:r>
          </w:p>
        </w:tc>
        <w:tc>
          <w:tcPr>
            <w:tcW w:type="dxa" w:w="5953"/>
            <w:vAlign w:val="center"/>
          </w:tcPr>
          <w:p>
            <w:pPr>
              <w:spacing w:after="0"/>
            </w:pPr>
            <w:r/>
            <w:r>
              <w:rPr>
                <w:rFonts w:ascii="Aptos" w:hAnsi="Aptos"/>
                <w:b w:val="0"/>
                <w:sz w:val="17"/>
              </w:rPr>
              <w:t>Adopt controlled change classification, release gates and post-deployment rollback evidence.</w:t>
            </w:r>
          </w:p>
        </w:tc>
      </w:tr>
      <w:tr>
        <w:tc>
          <w:tcPr>
            <w:tcW w:type="dxa" w:w="2835"/>
            <w:vAlign w:val="center"/>
            <w:shd w:fill="F3F6F8"/>
          </w:tcPr>
          <w:p>
            <w:pPr>
              <w:spacing w:after="0"/>
            </w:pPr>
            <w:r/>
            <w:r>
              <w:rPr>
                <w:rFonts w:ascii="Aptos" w:hAnsi="Aptos"/>
                <w:b w:val="0"/>
                <w:sz w:val="17"/>
              </w:rPr>
              <w:t>Standards / declaration / post-market</w:t>
            </w:r>
          </w:p>
        </w:tc>
        <w:tc>
          <w:tcPr>
            <w:tcW w:type="dxa" w:w="1417"/>
            <w:vAlign w:val="center"/>
          </w:tcPr>
          <w:p>
            <w:pPr>
              <w:spacing w:after="0"/>
            </w:pPr>
            <w:r/>
            <w:r>
              <w:rPr>
                <w:rFonts w:ascii="Aptos" w:hAnsi="Aptos"/>
                <w:b w:val="0"/>
                <w:sz w:val="17"/>
              </w:rPr>
              <w:t>TBC</w:t>
            </w:r>
          </w:p>
        </w:tc>
        <w:tc>
          <w:tcPr>
            <w:tcW w:type="dxa" w:w="5953"/>
            <w:vAlign w:val="center"/>
          </w:tcPr>
          <w:p>
            <w:pPr>
              <w:spacing w:after="0"/>
            </w:pPr>
            <w:r/>
            <w:r>
              <w:rPr>
                <w:rFonts w:ascii="Aptos" w:hAnsi="Aptos"/>
                <w:b w:val="0"/>
                <w:sz w:val="17"/>
              </w:rPr>
              <w:t>Select standards, complete conformity route and approve post-market monitoring plan.</w:t>
            </w:r>
          </w:p>
        </w:tc>
      </w:tr>
    </w:tbl>
    <w:p>
      <w:pPr>
        <w:spacing w:after="0"/>
      </w:pPr>
    </w:p>
    <w:p>
      <w:pPr>
        <w:pStyle w:val="Heading1"/>
      </w:pPr>
      <w:r>
        <w:t>1. Scope, legal basis and classification</w:t>
      </w:r>
    </w:p>
    <w:p>
      <w:pPr>
        <w:pStyle w:val="Heading2"/>
      </w:pPr>
      <w:r>
        <w:t>1.1 Purpose of this technical file</w:t>
      </w:r>
    </w:p>
    <w:p>
      <w:r>
        <w:t>This controlled document consolidates technical information needed to understand, assess, operate, change and monitor Credit Dossier. Its structure follows the minimum technical-documentation categories in Annex IV of Regulation (EU) 2024/1689. It should be maintained throughout the lifecycle and read with the referenced architecture, installation, security, testing and risk records.</w:t>
      </w:r>
    </w:p>
    <w:p>
      <w:pPr>
        <w:pStyle w:val="Heading2"/>
      </w:pPr>
      <w:r>
        <w:t>1.2 Applicability decision</w:t>
      </w:r>
    </w:p>
    <w:tbl>
      <w:tblPr>
        <w:tblStyle w:val="TableGrid"/>
        <w:tblW w:type="auto" w:w="0"/>
        <w:tblLook w:firstColumn="1" w:firstRow="1" w:lastColumn="0" w:lastRow="0" w:noHBand="0" w:noVBand="1" w:val="04A0"/>
      </w:tblPr>
      <w:tblGrid>
        <w:gridCol w:w="10029"/>
      </w:tblGrid>
      <w:tr>
        <w:tc>
          <w:tcPr>
            <w:tcW w:type="dxa" w:w="10029"/>
            <w:shd w:fill="FCE4D6"/>
          </w:tcPr>
          <w:p>
            <w:r>
              <w:rPr>
                <w:b/>
              </w:rPr>
              <w:t xml:space="preserve">Classification not finalized: </w:t>
            </w:r>
            <w:r>
              <w:t>The business workflow relates to credit analysis, but the repository does not establish the system's exact intended EU use, affected persons, deployer context, or whether an Annex III category applies. Legal/Compliance must document the Article 6/high-risk analysis, prohibited-practice screening, transparency duties and any applicable sectoral law before release.</w:t>
            </w:r>
          </w:p>
        </w:tc>
      </w:tr>
    </w:tbl>
    <w:p>
      <w:pPr>
        <w:spacing w:after="0"/>
      </w:pP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2268"/>
            <w:vAlign w:val="center"/>
            <w:shd w:fill="17365D"/>
          </w:tcPr>
          <w:p>
            <w:pPr>
              <w:spacing w:after="0"/>
            </w:pPr>
            <w:r/>
            <w:r>
              <w:rPr>
                <w:rFonts w:ascii="Aptos" w:hAnsi="Aptos"/>
                <w:b/>
                <w:color w:val="FFFFFF"/>
                <w:sz w:val="17"/>
              </w:rPr>
              <w:t>Decision item</w:t>
            </w:r>
          </w:p>
        </w:tc>
        <w:tc>
          <w:tcPr>
            <w:tcW w:type="dxa" w:w="5102"/>
            <w:vAlign w:val="center"/>
            <w:shd w:fill="17365D"/>
          </w:tcPr>
          <w:p>
            <w:pPr>
              <w:spacing w:after="0"/>
            </w:pPr>
            <w:r/>
            <w:r>
              <w:rPr>
                <w:rFonts w:ascii="Aptos" w:hAnsi="Aptos"/>
                <w:b/>
                <w:color w:val="FFFFFF"/>
                <w:sz w:val="17"/>
              </w:rPr>
              <w:t>Required conclusion</w:t>
            </w:r>
          </w:p>
        </w:tc>
        <w:tc>
          <w:tcPr>
            <w:tcW w:type="dxa" w:w="1701"/>
            <w:vAlign w:val="center"/>
            <w:shd w:fill="17365D"/>
          </w:tcPr>
          <w:p>
            <w:pPr>
              <w:spacing w:after="0"/>
            </w:pPr>
            <w:r/>
            <w:r>
              <w:rPr>
                <w:rFonts w:ascii="Aptos" w:hAnsi="Aptos"/>
                <w:b/>
                <w:color w:val="FFFFFF"/>
                <w:sz w:val="17"/>
              </w:rPr>
              <w:t>Owner</w:t>
            </w:r>
          </w:p>
        </w:tc>
        <w:tc>
          <w:tcPr>
            <w:tcW w:type="dxa" w:w="1701"/>
            <w:vAlign w:val="center"/>
            <w:shd w:fill="17365D"/>
          </w:tcPr>
          <w:p>
            <w:pPr>
              <w:spacing w:after="0"/>
            </w:pPr>
            <w:r/>
            <w:r>
              <w:rPr>
                <w:rFonts w:ascii="Aptos" w:hAnsi="Aptos"/>
                <w:b/>
                <w:color w:val="FFFFFF"/>
                <w:sz w:val="17"/>
              </w:rPr>
              <w:t>Evidence</w:t>
            </w:r>
          </w:p>
        </w:tc>
      </w:tr>
      <w:tr>
        <w:tc>
          <w:tcPr>
            <w:tcW w:type="dxa" w:w="2268"/>
            <w:vAlign w:val="center"/>
            <w:shd w:fill="F3F6F8"/>
          </w:tcPr>
          <w:p>
            <w:pPr>
              <w:spacing w:after="0"/>
            </w:pPr>
            <w:r/>
            <w:r>
              <w:rPr>
                <w:rFonts w:ascii="Aptos" w:hAnsi="Aptos"/>
                <w:b w:val="0"/>
                <w:sz w:val="17"/>
              </w:rPr>
              <w:t>AI system qualification</w:t>
            </w:r>
          </w:p>
        </w:tc>
        <w:tc>
          <w:tcPr>
            <w:tcW w:type="dxa" w:w="5102"/>
            <w:vAlign w:val="center"/>
          </w:tcPr>
          <w:p>
            <w:pPr>
              <w:spacing w:after="0"/>
            </w:pPr>
            <w:r/>
            <w:r>
              <w:rPr>
                <w:rFonts w:ascii="Aptos" w:hAnsi="Aptos"/>
                <w:b w:val="0"/>
                <w:sz w:val="17"/>
              </w:rPr>
              <w:t>Confirm whether Credit Dossier meets the Article 3 AI-system definition in the deployed configuration.</w:t>
            </w:r>
          </w:p>
        </w:tc>
        <w:tc>
          <w:tcPr>
            <w:tcW w:type="dxa" w:w="1701"/>
            <w:vAlign w:val="center"/>
          </w:tcPr>
          <w:p>
            <w:pPr>
              <w:spacing w:after="0"/>
            </w:pPr>
            <w:r/>
            <w:r>
              <w:rPr>
                <w:rFonts w:ascii="Aptos" w:hAnsi="Aptos"/>
                <w:b w:val="0"/>
                <w:sz w:val="17"/>
              </w:rPr>
              <w:t>Legal/Compliance</w:t>
            </w:r>
          </w:p>
        </w:tc>
        <w:tc>
          <w:tcPr>
            <w:tcW w:type="dxa" w:w="1701"/>
            <w:vAlign w:val="center"/>
          </w:tcPr>
          <w:p>
            <w:pPr>
              <w:spacing w:after="0"/>
            </w:pPr>
            <w:r/>
            <w:r>
              <w:rPr>
                <w:rFonts w:ascii="Aptos" w:hAnsi="Aptos"/>
                <w:b w:val="0"/>
                <w:sz w:val="17"/>
              </w:rPr>
              <w:t>Signed assessment — TBC</w:t>
            </w:r>
          </w:p>
        </w:tc>
      </w:tr>
      <w:tr>
        <w:tc>
          <w:tcPr>
            <w:tcW w:type="dxa" w:w="2268"/>
            <w:vAlign w:val="center"/>
            <w:shd w:fill="F3F6F8"/>
          </w:tcPr>
          <w:p>
            <w:pPr>
              <w:spacing w:after="0"/>
            </w:pPr>
            <w:r/>
            <w:r>
              <w:rPr>
                <w:rFonts w:ascii="Aptos" w:hAnsi="Aptos"/>
                <w:b w:val="0"/>
                <w:sz w:val="17"/>
              </w:rPr>
              <w:t>High-risk classification</w:t>
            </w:r>
          </w:p>
        </w:tc>
        <w:tc>
          <w:tcPr>
            <w:tcW w:type="dxa" w:w="5102"/>
            <w:vAlign w:val="center"/>
          </w:tcPr>
          <w:p>
            <w:pPr>
              <w:spacing w:after="0"/>
            </w:pPr>
            <w:r/>
            <w:r>
              <w:rPr>
                <w:rFonts w:ascii="Aptos" w:hAnsi="Aptos"/>
                <w:b w:val="0"/>
                <w:sz w:val="17"/>
              </w:rPr>
              <w:t>Assess Article 6 and Annex III, including whether output determines access to essential private services or creditworthiness of natural persons.</w:t>
            </w:r>
          </w:p>
        </w:tc>
        <w:tc>
          <w:tcPr>
            <w:tcW w:type="dxa" w:w="1701"/>
            <w:vAlign w:val="center"/>
          </w:tcPr>
          <w:p>
            <w:pPr>
              <w:spacing w:after="0"/>
            </w:pPr>
            <w:r/>
            <w:r>
              <w:rPr>
                <w:rFonts w:ascii="Aptos" w:hAnsi="Aptos"/>
                <w:b w:val="0"/>
                <w:sz w:val="17"/>
              </w:rPr>
              <w:t>Legal/Compliance + Business</w:t>
            </w:r>
          </w:p>
        </w:tc>
        <w:tc>
          <w:tcPr>
            <w:tcW w:type="dxa" w:w="1701"/>
            <w:vAlign w:val="center"/>
          </w:tcPr>
          <w:p>
            <w:pPr>
              <w:spacing w:after="0"/>
            </w:pPr>
            <w:r/>
            <w:r>
              <w:rPr>
                <w:rFonts w:ascii="Aptos" w:hAnsi="Aptos"/>
                <w:b w:val="0"/>
                <w:sz w:val="17"/>
              </w:rPr>
              <w:t>Classification memo — TBC</w:t>
            </w:r>
          </w:p>
        </w:tc>
      </w:tr>
      <w:tr>
        <w:tc>
          <w:tcPr>
            <w:tcW w:type="dxa" w:w="2268"/>
            <w:vAlign w:val="center"/>
            <w:shd w:fill="F3F6F8"/>
          </w:tcPr>
          <w:p>
            <w:pPr>
              <w:spacing w:after="0"/>
            </w:pPr>
            <w:r/>
            <w:r>
              <w:rPr>
                <w:rFonts w:ascii="Aptos" w:hAnsi="Aptos"/>
                <w:b w:val="0"/>
                <w:sz w:val="17"/>
              </w:rPr>
              <w:t>Role mapping</w:t>
            </w:r>
          </w:p>
        </w:tc>
        <w:tc>
          <w:tcPr>
            <w:tcW w:type="dxa" w:w="5102"/>
            <w:vAlign w:val="center"/>
          </w:tcPr>
          <w:p>
            <w:pPr>
              <w:spacing w:after="0"/>
            </w:pPr>
            <w:r/>
            <w:r>
              <w:rPr>
                <w:rFonts w:ascii="Aptos" w:hAnsi="Aptos"/>
                <w:b w:val="0"/>
                <w:sz w:val="17"/>
              </w:rPr>
              <w:t>Identify provider, deployer, importer/distributor (if any), authorized representative (if any) and affected persons.</w:t>
            </w:r>
          </w:p>
        </w:tc>
        <w:tc>
          <w:tcPr>
            <w:tcW w:type="dxa" w:w="1701"/>
            <w:vAlign w:val="center"/>
          </w:tcPr>
          <w:p>
            <w:pPr>
              <w:spacing w:after="0"/>
            </w:pPr>
            <w:r/>
            <w:r>
              <w:rPr>
                <w:rFonts w:ascii="Aptos" w:hAnsi="Aptos"/>
                <w:b w:val="0"/>
                <w:sz w:val="17"/>
              </w:rPr>
              <w:t>Legal</w:t>
            </w:r>
          </w:p>
        </w:tc>
        <w:tc>
          <w:tcPr>
            <w:tcW w:type="dxa" w:w="1701"/>
            <w:vAlign w:val="center"/>
          </w:tcPr>
          <w:p>
            <w:pPr>
              <w:spacing w:after="0"/>
            </w:pPr>
            <w:r/>
            <w:r>
              <w:rPr>
                <w:rFonts w:ascii="Aptos" w:hAnsi="Aptos"/>
                <w:b w:val="0"/>
                <w:sz w:val="17"/>
              </w:rPr>
              <w:t>RACI and contracts — TBC</w:t>
            </w:r>
          </w:p>
        </w:tc>
      </w:tr>
      <w:tr>
        <w:tc>
          <w:tcPr>
            <w:tcW w:type="dxa" w:w="2268"/>
            <w:vAlign w:val="center"/>
            <w:shd w:fill="F3F6F8"/>
          </w:tcPr>
          <w:p>
            <w:pPr>
              <w:spacing w:after="0"/>
            </w:pPr>
            <w:r/>
            <w:r>
              <w:rPr>
                <w:rFonts w:ascii="Aptos" w:hAnsi="Aptos"/>
                <w:b w:val="0"/>
                <w:sz w:val="17"/>
              </w:rPr>
              <w:t>Fundamental-rights assessment</w:t>
            </w:r>
          </w:p>
        </w:tc>
        <w:tc>
          <w:tcPr>
            <w:tcW w:type="dxa" w:w="5102"/>
            <w:vAlign w:val="center"/>
          </w:tcPr>
          <w:p>
            <w:pPr>
              <w:spacing w:after="0"/>
            </w:pPr>
            <w:r/>
            <w:r>
              <w:rPr>
                <w:rFonts w:ascii="Aptos" w:hAnsi="Aptos"/>
                <w:b w:val="0"/>
                <w:sz w:val="17"/>
              </w:rPr>
              <w:t>Determine whether a fundamental-rights impact assessment is required and link it if completed.</w:t>
            </w:r>
          </w:p>
        </w:tc>
        <w:tc>
          <w:tcPr>
            <w:tcW w:type="dxa" w:w="1701"/>
            <w:vAlign w:val="center"/>
          </w:tcPr>
          <w:p>
            <w:pPr>
              <w:spacing w:after="0"/>
            </w:pPr>
            <w:r/>
            <w:r>
              <w:rPr>
                <w:rFonts w:ascii="Aptos" w:hAnsi="Aptos"/>
                <w:b w:val="0"/>
                <w:sz w:val="17"/>
              </w:rPr>
              <w:t>Deployer / Legal</w:t>
            </w:r>
          </w:p>
        </w:tc>
        <w:tc>
          <w:tcPr>
            <w:tcW w:type="dxa" w:w="1701"/>
            <w:vAlign w:val="center"/>
          </w:tcPr>
          <w:p>
            <w:pPr>
              <w:spacing w:after="0"/>
            </w:pPr>
            <w:r/>
            <w:r>
              <w:rPr>
                <w:rFonts w:ascii="Aptos" w:hAnsi="Aptos"/>
                <w:b w:val="0"/>
                <w:sz w:val="17"/>
              </w:rPr>
              <w:t>FRIA — TBC</w:t>
            </w:r>
          </w:p>
        </w:tc>
      </w:tr>
      <w:tr>
        <w:tc>
          <w:tcPr>
            <w:tcW w:type="dxa" w:w="2268"/>
            <w:vAlign w:val="center"/>
            <w:shd w:fill="F3F6F8"/>
          </w:tcPr>
          <w:p>
            <w:pPr>
              <w:spacing w:after="0"/>
            </w:pPr>
            <w:r/>
            <w:r>
              <w:rPr>
                <w:rFonts w:ascii="Aptos" w:hAnsi="Aptos"/>
                <w:b w:val="0"/>
                <w:sz w:val="17"/>
              </w:rPr>
              <w:t>Data-protection assessment</w:t>
            </w:r>
          </w:p>
        </w:tc>
        <w:tc>
          <w:tcPr>
            <w:tcW w:type="dxa" w:w="5102"/>
            <w:vAlign w:val="center"/>
          </w:tcPr>
          <w:p>
            <w:pPr>
              <w:spacing w:after="0"/>
            </w:pPr>
            <w:r/>
            <w:r>
              <w:rPr>
                <w:rFonts w:ascii="Aptos" w:hAnsi="Aptos"/>
                <w:b w:val="0"/>
                <w:sz w:val="17"/>
              </w:rPr>
              <w:t>Determine controller/processor roles, lawful bases, DPIA need and retention rules.</w:t>
            </w:r>
          </w:p>
        </w:tc>
        <w:tc>
          <w:tcPr>
            <w:tcW w:type="dxa" w:w="1701"/>
            <w:vAlign w:val="center"/>
          </w:tcPr>
          <w:p>
            <w:pPr>
              <w:spacing w:after="0"/>
            </w:pPr>
            <w:r/>
            <w:r>
              <w:rPr>
                <w:rFonts w:ascii="Aptos" w:hAnsi="Aptos"/>
                <w:b w:val="0"/>
                <w:sz w:val="17"/>
              </w:rPr>
              <w:t>DPO</w:t>
            </w:r>
          </w:p>
        </w:tc>
        <w:tc>
          <w:tcPr>
            <w:tcW w:type="dxa" w:w="1701"/>
            <w:vAlign w:val="center"/>
          </w:tcPr>
          <w:p>
            <w:pPr>
              <w:spacing w:after="0"/>
            </w:pPr>
            <w:r/>
            <w:r>
              <w:rPr>
                <w:rFonts w:ascii="Aptos" w:hAnsi="Aptos"/>
                <w:b w:val="0"/>
                <w:sz w:val="17"/>
              </w:rPr>
              <w:t>DPIA/ROPA — TBC</w:t>
            </w:r>
          </w:p>
        </w:tc>
      </w:tr>
    </w:tbl>
    <w:p>
      <w:pPr>
        <w:spacing w:after="0"/>
      </w:pPr>
    </w:p>
    <w:p>
      <w:pPr>
        <w:pStyle w:val="Heading1"/>
      </w:pPr>
      <w:r>
        <w:t>2. General description of the AI system</w:t>
      </w:r>
    </w:p>
    <w:p>
      <w:pPr>
        <w:pStyle w:val="Heading2"/>
      </w:pPr>
      <w:r>
        <w:t>2.1 Identity, intended purpose and users</w:t>
      </w:r>
    </w:p>
    <w:tbl>
      <w:tblPr>
        <w:tblStyle w:val="TableGrid"/>
        <w:tblW w:type="auto" w:w="0"/>
        <w:jc w:val="center"/>
        <w:tblLook w:firstColumn="1" w:firstRow="1" w:lastColumn="0" w:lastRow="0" w:noHBand="0" w:noVBand="1" w:val="04A0"/>
      </w:tblPr>
      <w:tblGrid>
        <w:gridCol w:w="5014"/>
        <w:gridCol w:w="5014"/>
      </w:tblGrid>
      <w:tr>
        <w:tc>
          <w:tcPr>
            <w:tcW w:type="dxa" w:w="2551"/>
            <w:vAlign w:val="center"/>
            <w:shd w:fill="17365D"/>
          </w:tcPr>
          <w:p>
            <w:pPr>
              <w:spacing w:after="0"/>
            </w:pPr>
            <w:r/>
            <w:r>
              <w:rPr>
                <w:rFonts w:ascii="Aptos" w:hAnsi="Aptos"/>
                <w:b/>
                <w:color w:val="FFFFFF"/>
                <w:sz w:val="17"/>
              </w:rPr>
              <w:t>Attribute</w:t>
            </w:r>
          </w:p>
        </w:tc>
        <w:tc>
          <w:tcPr>
            <w:tcW w:type="dxa" w:w="7654"/>
            <w:vAlign w:val="center"/>
            <w:shd w:fill="17365D"/>
          </w:tcPr>
          <w:p>
            <w:pPr>
              <w:spacing w:after="0"/>
            </w:pPr>
            <w:r/>
            <w:r>
              <w:rPr>
                <w:rFonts w:ascii="Aptos" w:hAnsi="Aptos"/>
                <w:b/>
                <w:color w:val="FFFFFF"/>
                <w:sz w:val="17"/>
              </w:rPr>
              <w:t>Description</w:t>
            </w:r>
          </w:p>
        </w:tc>
      </w:tr>
      <w:tr>
        <w:tc>
          <w:tcPr>
            <w:tcW w:type="dxa" w:w="2551"/>
            <w:vAlign w:val="center"/>
            <w:shd w:fill="F3F6F8"/>
          </w:tcPr>
          <w:p>
            <w:pPr>
              <w:spacing w:after="0"/>
            </w:pPr>
            <w:r/>
            <w:r>
              <w:rPr>
                <w:rFonts w:ascii="Aptos" w:hAnsi="Aptos"/>
                <w:b w:val="0"/>
                <w:sz w:val="17"/>
              </w:rPr>
              <w:t>System name</w:t>
            </w:r>
          </w:p>
        </w:tc>
        <w:tc>
          <w:tcPr>
            <w:tcW w:type="dxa" w:w="7654"/>
            <w:vAlign w:val="center"/>
          </w:tcPr>
          <w:p>
            <w:pPr>
              <w:spacing w:after="0"/>
            </w:pPr>
            <w:r/>
            <w:r>
              <w:rPr>
                <w:rFonts w:ascii="Aptos" w:hAnsi="Aptos"/>
                <w:b w:val="0"/>
                <w:sz w:val="17"/>
              </w:rPr>
              <w:t>Credit Dossier</w:t>
            </w:r>
          </w:p>
        </w:tc>
      </w:tr>
      <w:tr>
        <w:tc>
          <w:tcPr>
            <w:tcW w:type="dxa" w:w="2551"/>
            <w:vAlign w:val="center"/>
            <w:shd w:fill="F3F6F8"/>
          </w:tcPr>
          <w:p>
            <w:pPr>
              <w:spacing w:after="0"/>
            </w:pPr>
            <w:r/>
            <w:r>
              <w:rPr>
                <w:rFonts w:ascii="Aptos" w:hAnsi="Aptos"/>
                <w:b w:val="0"/>
                <w:sz w:val="17"/>
              </w:rPr>
              <w:t>Version</w:t>
            </w:r>
          </w:p>
        </w:tc>
        <w:tc>
          <w:tcPr>
            <w:tcW w:type="dxa" w:w="7654"/>
            <w:vAlign w:val="center"/>
          </w:tcPr>
          <w:p>
            <w:pPr>
              <w:spacing w:after="0"/>
            </w:pPr>
            <w:r/>
            <w:r>
              <w:rPr>
                <w:rFonts w:ascii="Aptos" w:hAnsi="Aptos"/>
                <w:b w:val="0"/>
                <w:sz w:val="17"/>
              </w:rPr>
              <w:t>Application version 1.0; technical baseline commit 83b8c29. Formal release tag TBC.</w:t>
            </w:r>
          </w:p>
        </w:tc>
      </w:tr>
      <w:tr>
        <w:tc>
          <w:tcPr>
            <w:tcW w:type="dxa" w:w="2551"/>
            <w:vAlign w:val="center"/>
            <w:shd w:fill="F3F6F8"/>
          </w:tcPr>
          <w:p>
            <w:pPr>
              <w:spacing w:after="0"/>
            </w:pPr>
            <w:r/>
            <w:r>
              <w:rPr>
                <w:rFonts w:ascii="Aptos" w:hAnsi="Aptos"/>
                <w:b w:val="0"/>
                <w:sz w:val="17"/>
              </w:rPr>
              <w:t>Development date</w:t>
            </w:r>
          </w:p>
        </w:tc>
        <w:tc>
          <w:tcPr>
            <w:tcW w:type="dxa" w:w="7654"/>
            <w:vAlign w:val="center"/>
          </w:tcPr>
          <w:p>
            <w:pPr>
              <w:spacing w:after="0"/>
            </w:pPr>
            <w:r/>
            <w:r>
              <w:rPr>
                <w:rFonts w:ascii="Aptos" w:hAnsi="Aptos"/>
                <w:b w:val="0"/>
                <w:sz w:val="17"/>
              </w:rPr>
              <w:t>Repository baseline dated 18-Sep-2026; original development start and release date TBC.</w:t>
            </w:r>
          </w:p>
        </w:tc>
      </w:tr>
      <w:tr>
        <w:tc>
          <w:tcPr>
            <w:tcW w:type="dxa" w:w="2551"/>
            <w:vAlign w:val="center"/>
            <w:shd w:fill="F3F6F8"/>
          </w:tcPr>
          <w:p>
            <w:pPr>
              <w:spacing w:after="0"/>
            </w:pPr>
            <w:r/>
            <w:r>
              <w:rPr>
                <w:rFonts w:ascii="Aptos" w:hAnsi="Aptos"/>
                <w:b w:val="0"/>
                <w:sz w:val="17"/>
              </w:rPr>
              <w:t>Intended purpose</w:t>
            </w:r>
          </w:p>
        </w:tc>
        <w:tc>
          <w:tcPr>
            <w:tcW w:type="dxa" w:w="7654"/>
            <w:vAlign w:val="center"/>
          </w:tcPr>
          <w:p>
            <w:pPr>
              <w:spacing w:after="0"/>
            </w:pPr>
            <w:r/>
            <w:r>
              <w:rPr>
                <w:rFonts w:ascii="Aptos" w:hAnsi="Aptos"/>
                <w:b w:val="0"/>
                <w:sz w:val="17"/>
              </w:rPr>
              <w:t>Assist authorized relationship managers and credit analysts with drafting, evidence review, versioning, approval and export of credit pitch-book content using deal data, documents, structured credit data and approved web sources.</w:t>
            </w:r>
          </w:p>
        </w:tc>
      </w:tr>
      <w:tr>
        <w:tc>
          <w:tcPr>
            <w:tcW w:type="dxa" w:w="2551"/>
            <w:vAlign w:val="center"/>
            <w:shd w:fill="F3F6F8"/>
          </w:tcPr>
          <w:p>
            <w:pPr>
              <w:spacing w:after="0"/>
            </w:pPr>
            <w:r/>
            <w:r>
              <w:rPr>
                <w:rFonts w:ascii="Aptos" w:hAnsi="Aptos"/>
                <w:b w:val="0"/>
                <w:sz w:val="17"/>
              </w:rPr>
              <w:t>Intended users</w:t>
            </w:r>
          </w:p>
        </w:tc>
        <w:tc>
          <w:tcPr>
            <w:tcW w:type="dxa" w:w="7654"/>
            <w:vAlign w:val="center"/>
          </w:tcPr>
          <w:p>
            <w:pPr>
              <w:spacing w:after="0"/>
            </w:pPr>
            <w:r/>
            <w:r>
              <w:rPr>
                <w:rFonts w:ascii="Aptos" w:hAnsi="Aptos"/>
                <w:b w:val="0"/>
                <w:sz w:val="17"/>
              </w:rPr>
              <w:t>Relationship Managers, Credit Analysts and Administrators with role-specific permissions.</w:t>
            </w:r>
          </w:p>
        </w:tc>
      </w:tr>
      <w:tr>
        <w:tc>
          <w:tcPr>
            <w:tcW w:type="dxa" w:w="2551"/>
            <w:vAlign w:val="center"/>
            <w:shd w:fill="F3F6F8"/>
          </w:tcPr>
          <w:p>
            <w:pPr>
              <w:spacing w:after="0"/>
            </w:pPr>
            <w:r/>
            <w:r>
              <w:rPr>
                <w:rFonts w:ascii="Aptos" w:hAnsi="Aptos"/>
                <w:b w:val="0"/>
                <w:sz w:val="17"/>
              </w:rPr>
              <w:t>Intended beneficiaries</w:t>
            </w:r>
          </w:p>
        </w:tc>
        <w:tc>
          <w:tcPr>
            <w:tcW w:type="dxa" w:w="7654"/>
            <w:vAlign w:val="center"/>
          </w:tcPr>
          <w:p>
            <w:pPr>
              <w:spacing w:after="0"/>
            </w:pPr>
            <w:r/>
            <w:r>
              <w:rPr>
                <w:rFonts w:ascii="Aptos" w:hAnsi="Aptos"/>
                <w:b w:val="0"/>
                <w:sz w:val="17"/>
              </w:rPr>
              <w:t>Internal credit preparation and review teams; customer/borrower impact and affected-person population TBC.</w:t>
            </w:r>
          </w:p>
        </w:tc>
      </w:tr>
      <w:tr>
        <w:tc>
          <w:tcPr>
            <w:tcW w:type="dxa" w:w="2551"/>
            <w:vAlign w:val="center"/>
            <w:shd w:fill="F3F6F8"/>
          </w:tcPr>
          <w:p>
            <w:pPr>
              <w:spacing w:after="0"/>
            </w:pPr>
            <w:r/>
            <w:r>
              <w:rPr>
                <w:rFonts w:ascii="Aptos" w:hAnsi="Aptos"/>
                <w:b w:val="0"/>
                <w:sz w:val="17"/>
              </w:rPr>
              <w:t>Excluded purpose</w:t>
            </w:r>
          </w:p>
        </w:tc>
        <w:tc>
          <w:tcPr>
            <w:tcW w:type="dxa" w:w="7654"/>
            <w:vAlign w:val="center"/>
          </w:tcPr>
          <w:p>
            <w:pPr>
              <w:spacing w:after="0"/>
            </w:pPr>
            <w:r/>
            <w:r>
              <w:rPr>
                <w:rFonts w:ascii="Aptos" w:hAnsi="Aptos"/>
                <w:b w:val="0"/>
                <w:sz w:val="17"/>
              </w:rPr>
              <w:t>No autonomous lending decision, credit score, legally binding approval, or unsupervised external communication is specified by the repository. These uses must be prohibited unless separately assessed and approved.</w:t>
            </w:r>
          </w:p>
        </w:tc>
      </w:tr>
      <w:tr>
        <w:tc>
          <w:tcPr>
            <w:tcW w:type="dxa" w:w="2551"/>
            <w:vAlign w:val="center"/>
            <w:shd w:fill="F3F6F8"/>
          </w:tcPr>
          <w:p>
            <w:pPr>
              <w:spacing w:after="0"/>
            </w:pPr>
            <w:r/>
            <w:r>
              <w:rPr>
                <w:rFonts w:ascii="Aptos" w:hAnsi="Aptos"/>
                <w:b w:val="0"/>
                <w:sz w:val="17"/>
              </w:rPr>
              <w:t>Provider</w:t>
            </w:r>
          </w:p>
        </w:tc>
        <w:tc>
          <w:tcPr>
            <w:tcW w:type="dxa" w:w="7654"/>
            <w:vAlign w:val="center"/>
          </w:tcPr>
          <w:p>
            <w:pPr>
              <w:spacing w:after="0"/>
            </w:pPr>
            <w:r/>
            <w:r>
              <w:rPr>
                <w:rFonts w:ascii="Aptos" w:hAnsi="Aptos"/>
                <w:b w:val="0"/>
                <w:sz w:val="17"/>
              </w:rPr>
              <w:t>Tata Consultancy Services Limited — legal entity/address/contact TBC.</w:t>
            </w:r>
          </w:p>
        </w:tc>
      </w:tr>
    </w:tbl>
    <w:p>
      <w:pPr>
        <w:spacing w:after="0"/>
      </w:pPr>
    </w:p>
    <w:p>
      <w:pPr>
        <w:pStyle w:val="Heading2"/>
      </w:pPr>
      <w:r>
        <w:t>2.2 Forms placed on the market or put into service</w:t>
      </w:r>
    </w:p>
    <w:p>
      <w:pPr>
        <w:pStyle w:val="ListBullet"/>
      </w:pPr>
      <w:r>
        <w:t>Web application: authenticated React user interface, normally served on port 8080 in local development.</w:t>
      </w:r>
    </w:p>
    <w:p>
      <w:pPr>
        <w:pStyle w:val="ListBullet"/>
      </w:pPr>
      <w:r>
        <w:t>Backend service: FastAPI REST API, normally served on port 8000; health and OpenAPI endpoints are provided.</w:t>
      </w:r>
    </w:p>
    <w:p>
      <w:pPr>
        <w:pStyle w:val="ListBullet"/>
      </w:pPr>
      <w:r>
        <w:t>Local MCP service: SSE endpoint, normally on port 8001, mediating owner-scoped company and structured-credit information.</w:t>
      </w:r>
    </w:p>
    <w:p>
      <w:pPr>
        <w:pStyle w:val="ListBullet"/>
      </w:pPr>
      <w:r>
        <w:t>Generated artifacts: PDF, DOCX and PPTX dossier exports, plus immutable submitted-version PDF snapshots.</w:t>
      </w:r>
    </w:p>
    <w:p>
      <w:pPr>
        <w:pStyle w:val="ListBullet"/>
      </w:pPr>
      <w:r>
        <w:t>Production packaging, hosting model, distribution channel, customer tenancy model and API exposure: TBC.</w:t>
      </w:r>
    </w:p>
    <w:p>
      <w:pPr>
        <w:pStyle w:val="Heading2"/>
      </w:pPr>
      <w:r>
        <w:t>2.3 External interactions</w:t>
      </w: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1814"/>
            <w:vAlign w:val="center"/>
            <w:shd w:fill="17365D"/>
          </w:tcPr>
          <w:p>
            <w:pPr>
              <w:spacing w:after="0"/>
            </w:pPr>
            <w:r/>
            <w:r>
              <w:rPr>
                <w:rFonts w:ascii="Aptos" w:hAnsi="Aptos"/>
                <w:b/>
                <w:color w:val="FFFFFF"/>
                <w:sz w:val="17"/>
              </w:rPr>
              <w:t>External component</w:t>
            </w:r>
          </w:p>
        </w:tc>
        <w:tc>
          <w:tcPr>
            <w:tcW w:type="dxa" w:w="1701"/>
            <w:vAlign w:val="center"/>
            <w:shd w:fill="17365D"/>
          </w:tcPr>
          <w:p>
            <w:pPr>
              <w:spacing w:after="0"/>
            </w:pPr>
            <w:r/>
            <w:r>
              <w:rPr>
                <w:rFonts w:ascii="Aptos" w:hAnsi="Aptos"/>
                <w:b/>
                <w:color w:val="FFFFFF"/>
                <w:sz w:val="17"/>
              </w:rPr>
              <w:t>Interaction</w:t>
            </w:r>
          </w:p>
        </w:tc>
        <w:tc>
          <w:tcPr>
            <w:tcW w:type="dxa" w:w="3685"/>
            <w:vAlign w:val="center"/>
            <w:shd w:fill="17365D"/>
          </w:tcPr>
          <w:p>
            <w:pPr>
              <w:spacing w:after="0"/>
            </w:pPr>
            <w:r/>
            <w:r>
              <w:rPr>
                <w:rFonts w:ascii="Aptos" w:hAnsi="Aptos"/>
                <w:b/>
                <w:color w:val="FFFFFF"/>
                <w:sz w:val="17"/>
              </w:rPr>
              <w:t>Data exchanged / purpose</w:t>
            </w:r>
          </w:p>
        </w:tc>
        <w:tc>
          <w:tcPr>
            <w:tcW w:type="dxa" w:w="3005"/>
            <w:vAlign w:val="center"/>
            <w:shd w:fill="17365D"/>
          </w:tcPr>
          <w:p>
            <w:pPr>
              <w:spacing w:after="0"/>
            </w:pPr>
            <w:r/>
            <w:r>
              <w:rPr>
                <w:rFonts w:ascii="Aptos" w:hAnsi="Aptos"/>
                <w:b/>
                <w:color w:val="FFFFFF"/>
                <w:sz w:val="17"/>
              </w:rPr>
              <w:t>Control note</w:t>
            </w:r>
          </w:p>
        </w:tc>
      </w:tr>
      <w:tr>
        <w:tc>
          <w:tcPr>
            <w:tcW w:type="dxa" w:w="1814"/>
            <w:vAlign w:val="center"/>
            <w:shd w:fill="F3F6F8"/>
          </w:tcPr>
          <w:p>
            <w:pPr>
              <w:spacing w:after="0"/>
            </w:pPr>
            <w:r/>
            <w:r>
              <w:rPr>
                <w:rFonts w:ascii="Aptos" w:hAnsi="Aptos"/>
                <w:b w:val="0"/>
                <w:sz w:val="17"/>
              </w:rPr>
              <w:t>Mistral AI services</w:t>
            </w:r>
          </w:p>
        </w:tc>
        <w:tc>
          <w:tcPr>
            <w:tcW w:type="dxa" w:w="1701"/>
            <w:vAlign w:val="center"/>
          </w:tcPr>
          <w:p>
            <w:pPr>
              <w:spacing w:after="0"/>
            </w:pPr>
            <w:r/>
            <w:r>
              <w:rPr>
                <w:rFonts w:ascii="Aptos" w:hAnsi="Aptos"/>
                <w:b w:val="0"/>
                <w:sz w:val="17"/>
              </w:rPr>
              <w:t>HTTPS API via SDK</w:t>
            </w:r>
          </w:p>
        </w:tc>
        <w:tc>
          <w:tcPr>
            <w:tcW w:type="dxa" w:w="3685"/>
            <w:vAlign w:val="center"/>
          </w:tcPr>
          <w:p>
            <w:pPr>
              <w:spacing w:after="0"/>
            </w:pPr>
            <w:r/>
            <w:r>
              <w:rPr>
                <w:rFonts w:ascii="Aptos" w:hAnsi="Aptos"/>
                <w:b w:val="0"/>
                <w:sz w:val="17"/>
              </w:rPr>
              <w:t>Prompts, selected context, documents and outputs for agents, libraries, OCR, moderation, evaluation and telemetry.</w:t>
            </w:r>
          </w:p>
        </w:tc>
        <w:tc>
          <w:tcPr>
            <w:tcW w:type="dxa" w:w="3005"/>
            <w:vAlign w:val="center"/>
          </w:tcPr>
          <w:p>
            <w:pPr>
              <w:spacing w:after="0"/>
            </w:pPr>
            <w:r/>
            <w:r>
              <w:rPr>
                <w:rFonts w:ascii="Aptos" w:hAnsi="Aptos"/>
                <w:b w:val="0"/>
                <w:sz w:val="17"/>
              </w:rPr>
              <w:t>Contract, region, retention, subprocessor and transfer assessment TBC.</w:t>
            </w:r>
          </w:p>
        </w:tc>
      </w:tr>
      <w:tr>
        <w:tc>
          <w:tcPr>
            <w:tcW w:type="dxa" w:w="1814"/>
            <w:vAlign w:val="center"/>
            <w:shd w:fill="F3F6F8"/>
          </w:tcPr>
          <w:p>
            <w:pPr>
              <w:spacing w:after="0"/>
            </w:pPr>
            <w:r/>
            <w:r>
              <w:rPr>
                <w:rFonts w:ascii="Aptos" w:hAnsi="Aptos"/>
                <w:b w:val="0"/>
                <w:sz w:val="17"/>
              </w:rPr>
              <w:t>PostgreSQL — application</w:t>
            </w:r>
          </w:p>
        </w:tc>
        <w:tc>
          <w:tcPr>
            <w:tcW w:type="dxa" w:w="1701"/>
            <w:vAlign w:val="center"/>
          </w:tcPr>
          <w:p>
            <w:pPr>
              <w:spacing w:after="0"/>
            </w:pPr>
            <w:r/>
            <w:r>
              <w:rPr>
                <w:rFonts w:ascii="Aptos" w:hAnsi="Aptos"/>
                <w:b w:val="0"/>
                <w:sz w:val="17"/>
              </w:rPr>
              <w:t>SQLAlchemy / psycopg</w:t>
            </w:r>
          </w:p>
        </w:tc>
        <w:tc>
          <w:tcPr>
            <w:tcW w:type="dxa" w:w="3685"/>
            <w:vAlign w:val="center"/>
          </w:tcPr>
          <w:p>
            <w:pPr>
              <w:spacing w:after="0"/>
            </w:pPr>
            <w:r/>
            <w:r>
              <w:rPr>
                <w:rFonts w:ascii="Aptos" w:hAnsi="Aptos"/>
                <w:b w:val="0"/>
                <w:sz w:val="17"/>
              </w:rPr>
              <w:t>Users, sessions, deals, sections, versions, metadata, audit records.</w:t>
            </w:r>
          </w:p>
        </w:tc>
        <w:tc>
          <w:tcPr>
            <w:tcW w:type="dxa" w:w="3005"/>
            <w:vAlign w:val="center"/>
          </w:tcPr>
          <w:p>
            <w:pPr>
              <w:spacing w:after="0"/>
            </w:pPr>
            <w:r/>
            <w:r>
              <w:rPr>
                <w:rFonts w:ascii="Aptos" w:hAnsi="Aptos"/>
                <w:b w:val="0"/>
                <w:sz w:val="17"/>
              </w:rPr>
              <w:t>Production encryption, backups and access control TBC.</w:t>
            </w:r>
          </w:p>
        </w:tc>
      </w:tr>
      <w:tr>
        <w:tc>
          <w:tcPr>
            <w:tcW w:type="dxa" w:w="1814"/>
            <w:vAlign w:val="center"/>
            <w:shd w:fill="F3F6F8"/>
          </w:tcPr>
          <w:p>
            <w:pPr>
              <w:spacing w:after="0"/>
            </w:pPr>
            <w:r/>
            <w:r>
              <w:rPr>
                <w:rFonts w:ascii="Aptos" w:hAnsi="Aptos"/>
                <w:b w:val="0"/>
                <w:sz w:val="17"/>
              </w:rPr>
              <w:t>PostgreSQL — MCP</w:t>
            </w:r>
          </w:p>
        </w:tc>
        <w:tc>
          <w:tcPr>
            <w:tcW w:type="dxa" w:w="1701"/>
            <w:vAlign w:val="center"/>
          </w:tcPr>
          <w:p>
            <w:pPr>
              <w:spacing w:after="0"/>
            </w:pPr>
            <w:r/>
            <w:r>
              <w:rPr>
                <w:rFonts w:ascii="Aptos" w:hAnsi="Aptos"/>
                <w:b w:val="0"/>
                <w:sz w:val="17"/>
              </w:rPr>
              <w:t>psycopg</w:t>
            </w:r>
          </w:p>
        </w:tc>
        <w:tc>
          <w:tcPr>
            <w:tcW w:type="dxa" w:w="3685"/>
            <w:vAlign w:val="center"/>
          </w:tcPr>
          <w:p>
            <w:pPr>
              <w:spacing w:after="0"/>
            </w:pPr>
            <w:r/>
            <w:r>
              <w:rPr>
                <w:rFonts w:ascii="Aptos" w:hAnsi="Aptos"/>
                <w:b w:val="0"/>
                <w:sz w:val="17"/>
              </w:rPr>
              <w:t>Owner-scoped structured credit data across 16 tables and company metadata.</w:t>
            </w:r>
          </w:p>
        </w:tc>
        <w:tc>
          <w:tcPr>
            <w:tcW w:type="dxa" w:w="3005"/>
            <w:vAlign w:val="center"/>
          </w:tcPr>
          <w:p>
            <w:pPr>
              <w:spacing w:after="0"/>
            </w:pPr>
            <w:r/>
            <w:r>
              <w:rPr>
                <w:rFonts w:ascii="Aptos" w:hAnsi="Aptos"/>
                <w:b w:val="0"/>
                <w:sz w:val="17"/>
              </w:rPr>
              <w:t>Separate logical database in documented local setup.</w:t>
            </w:r>
          </w:p>
        </w:tc>
      </w:tr>
      <w:tr>
        <w:tc>
          <w:tcPr>
            <w:tcW w:type="dxa" w:w="1814"/>
            <w:vAlign w:val="center"/>
            <w:shd w:fill="F3F6F8"/>
          </w:tcPr>
          <w:p>
            <w:pPr>
              <w:spacing w:after="0"/>
            </w:pPr>
            <w:r/>
            <w:r>
              <w:rPr>
                <w:rFonts w:ascii="Aptos" w:hAnsi="Aptos"/>
                <w:b w:val="0"/>
                <w:sz w:val="17"/>
              </w:rPr>
              <w:t>Public web sources</w:t>
            </w:r>
          </w:p>
        </w:tc>
        <w:tc>
          <w:tcPr>
            <w:tcW w:type="dxa" w:w="1701"/>
            <w:vAlign w:val="center"/>
          </w:tcPr>
          <w:p>
            <w:pPr>
              <w:spacing w:after="0"/>
            </w:pPr>
            <w:r/>
            <w:r>
              <w:rPr>
                <w:rFonts w:ascii="Aptos" w:hAnsi="Aptos"/>
                <w:b w:val="0"/>
                <w:sz w:val="17"/>
              </w:rPr>
              <w:t>Backend HTTP retrieval</w:t>
            </w:r>
          </w:p>
        </w:tc>
        <w:tc>
          <w:tcPr>
            <w:tcW w:type="dxa" w:w="3685"/>
            <w:vAlign w:val="center"/>
          </w:tcPr>
          <w:p>
            <w:pPr>
              <w:spacing w:after="0"/>
            </w:pPr>
            <w:r/>
            <w:r>
              <w:rPr>
                <w:rFonts w:ascii="Aptos" w:hAnsi="Aptos"/>
                <w:b w:val="0"/>
                <w:sz w:val="17"/>
              </w:rPr>
              <w:t>Up to 10 section URLs and extracted text.</w:t>
            </w:r>
          </w:p>
        </w:tc>
        <w:tc>
          <w:tcPr>
            <w:tcW w:type="dxa" w:w="3005"/>
            <w:vAlign w:val="center"/>
          </w:tcPr>
          <w:p>
            <w:pPr>
              <w:spacing w:after="0"/>
            </w:pPr>
            <w:r/>
            <w:r>
              <w:rPr>
                <w:rFonts w:ascii="Aptos" w:hAnsi="Aptos"/>
                <w:b w:val="0"/>
                <w:sz w:val="17"/>
              </w:rPr>
              <w:t>URL validation exists; production SSRF allow/deny policy is planned.</w:t>
            </w:r>
          </w:p>
        </w:tc>
      </w:tr>
      <w:tr>
        <w:tc>
          <w:tcPr>
            <w:tcW w:type="dxa" w:w="1814"/>
            <w:vAlign w:val="center"/>
            <w:shd w:fill="F3F6F8"/>
          </w:tcPr>
          <w:p>
            <w:pPr>
              <w:spacing w:after="0"/>
            </w:pPr>
            <w:r/>
            <w:r>
              <w:rPr>
                <w:rFonts w:ascii="Aptos" w:hAnsi="Aptos"/>
                <w:b w:val="0"/>
                <w:sz w:val="17"/>
              </w:rPr>
              <w:t>Browser/client</w:t>
            </w:r>
          </w:p>
        </w:tc>
        <w:tc>
          <w:tcPr>
            <w:tcW w:type="dxa" w:w="1701"/>
            <w:vAlign w:val="center"/>
          </w:tcPr>
          <w:p>
            <w:pPr>
              <w:spacing w:after="0"/>
            </w:pPr>
            <w:r/>
            <w:r>
              <w:rPr>
                <w:rFonts w:ascii="Aptos" w:hAnsi="Aptos"/>
                <w:b w:val="0"/>
                <w:sz w:val="17"/>
              </w:rPr>
              <w:t>REST and HTTP-only cookie</w:t>
            </w:r>
          </w:p>
        </w:tc>
        <w:tc>
          <w:tcPr>
            <w:tcW w:type="dxa" w:w="3685"/>
            <w:vAlign w:val="center"/>
          </w:tcPr>
          <w:p>
            <w:pPr>
              <w:spacing w:after="0"/>
            </w:pPr>
            <w:r/>
            <w:r>
              <w:rPr>
                <w:rFonts w:ascii="Aptos" w:hAnsi="Aptos"/>
                <w:b w:val="0"/>
                <w:sz w:val="17"/>
              </w:rPr>
              <w:t>User inputs, documents, generated narratives, review actions and exports.</w:t>
            </w:r>
          </w:p>
        </w:tc>
        <w:tc>
          <w:tcPr>
            <w:tcW w:type="dxa" w:w="3005"/>
            <w:vAlign w:val="center"/>
          </w:tcPr>
          <w:p>
            <w:pPr>
              <w:spacing w:after="0"/>
            </w:pPr>
            <w:r/>
            <w:r>
              <w:rPr>
                <w:rFonts w:ascii="Aptos" w:hAnsi="Aptos"/>
                <w:b w:val="0"/>
                <w:sz w:val="17"/>
              </w:rPr>
              <w:t>Exact CORS origins; HTTPS and secure cookies required for production.</w:t>
            </w:r>
          </w:p>
        </w:tc>
      </w:tr>
      <w:tr>
        <w:tc>
          <w:tcPr>
            <w:tcW w:type="dxa" w:w="1814"/>
            <w:vAlign w:val="center"/>
            <w:shd w:fill="F3F6F8"/>
          </w:tcPr>
          <w:p>
            <w:pPr>
              <w:spacing w:after="0"/>
            </w:pPr>
            <w:r/>
            <w:r>
              <w:rPr>
                <w:rFonts w:ascii="Aptos" w:hAnsi="Aptos"/>
                <w:b w:val="0"/>
                <w:sz w:val="17"/>
              </w:rPr>
              <w:t>Host file storage</w:t>
            </w:r>
          </w:p>
        </w:tc>
        <w:tc>
          <w:tcPr>
            <w:tcW w:type="dxa" w:w="1701"/>
            <w:vAlign w:val="center"/>
          </w:tcPr>
          <w:p>
            <w:pPr>
              <w:spacing w:after="0"/>
            </w:pPr>
            <w:r/>
            <w:r>
              <w:rPr>
                <w:rFonts w:ascii="Aptos" w:hAnsi="Aptos"/>
                <w:b w:val="0"/>
                <w:sz w:val="17"/>
              </w:rPr>
              <w:t>Local filesystem</w:t>
            </w:r>
          </w:p>
        </w:tc>
        <w:tc>
          <w:tcPr>
            <w:tcW w:type="dxa" w:w="3685"/>
            <w:vAlign w:val="center"/>
          </w:tcPr>
          <w:p>
            <w:pPr>
              <w:spacing w:after="0"/>
            </w:pPr>
            <w:r/>
            <w:r>
              <w:rPr>
                <w:rFonts w:ascii="Aptos" w:hAnsi="Aptos"/>
                <w:b w:val="0"/>
                <w:sz w:val="17"/>
              </w:rPr>
              <w:t>Uploads, templates and local protected secret/key files.</w:t>
            </w:r>
          </w:p>
        </w:tc>
        <w:tc>
          <w:tcPr>
            <w:tcW w:type="dxa" w:w="3005"/>
            <w:vAlign w:val="center"/>
          </w:tcPr>
          <w:p>
            <w:pPr>
              <w:spacing w:after="0"/>
            </w:pPr>
            <w:r/>
            <w:r>
              <w:rPr>
                <w:rFonts w:ascii="Aptos" w:hAnsi="Aptos"/>
                <w:b w:val="0"/>
                <w:sz w:val="17"/>
              </w:rPr>
              <w:t>Durable object storage and retention policy planned.</w:t>
            </w:r>
          </w:p>
        </w:tc>
      </w:tr>
    </w:tbl>
    <w:p>
      <w:pPr>
        <w:spacing w:after="0"/>
      </w:pPr>
    </w:p>
    <w:p>
      <w:pPr>
        <w:pStyle w:val="Heading2"/>
      </w:pPr>
      <w:r>
        <w:t>2.4 Software and firmware baseline</w:t>
      </w:r>
    </w:p>
    <w:tbl>
      <w:tblPr>
        <w:tblStyle w:val="TableGrid"/>
        <w:tblW w:type="auto" w:w="0"/>
        <w:jc w:val="center"/>
        <w:tblLook w:firstColumn="1" w:firstRow="1" w:lastColumn="0" w:lastRow="0" w:noHBand="0" w:noVBand="1" w:val="04A0"/>
      </w:tblPr>
      <w:tblGrid>
        <w:gridCol w:w="5014"/>
        <w:gridCol w:w="5014"/>
      </w:tblGrid>
      <w:tr>
        <w:tc>
          <w:tcPr>
            <w:tcW w:type="dxa" w:w="2268"/>
            <w:vAlign w:val="center"/>
            <w:shd w:fill="17365D"/>
          </w:tcPr>
          <w:p>
            <w:pPr>
              <w:spacing w:after="0"/>
            </w:pPr>
            <w:r/>
            <w:r>
              <w:rPr>
                <w:rFonts w:ascii="Aptos" w:hAnsi="Aptos"/>
                <w:b/>
                <w:color w:val="FFFFFF"/>
                <w:sz w:val="17"/>
              </w:rPr>
              <w:t>Layer</w:t>
            </w:r>
          </w:p>
        </w:tc>
        <w:tc>
          <w:tcPr>
            <w:tcW w:type="dxa" w:w="7937"/>
            <w:vAlign w:val="center"/>
            <w:shd w:fill="17365D"/>
          </w:tcPr>
          <w:p>
            <w:pPr>
              <w:spacing w:after="0"/>
            </w:pPr>
            <w:r/>
            <w:r>
              <w:rPr>
                <w:rFonts w:ascii="Aptos" w:hAnsi="Aptos"/>
                <w:b/>
                <w:color w:val="FFFFFF"/>
                <w:sz w:val="17"/>
              </w:rPr>
              <w:t>Baseline</w:t>
            </w:r>
          </w:p>
        </w:tc>
      </w:tr>
      <w:tr>
        <w:tc>
          <w:tcPr>
            <w:tcW w:type="dxa" w:w="2268"/>
            <w:vAlign w:val="center"/>
            <w:shd w:fill="F3F6F8"/>
          </w:tcPr>
          <w:p>
            <w:pPr>
              <w:spacing w:after="0"/>
            </w:pPr>
            <w:r/>
            <w:r>
              <w:rPr>
                <w:rFonts w:ascii="Aptos" w:hAnsi="Aptos"/>
                <w:b w:val="0"/>
                <w:sz w:val="17"/>
              </w:rPr>
              <w:t>Backend</w:t>
            </w:r>
          </w:p>
        </w:tc>
        <w:tc>
          <w:tcPr>
            <w:tcW w:type="dxa" w:w="7937"/>
            <w:vAlign w:val="center"/>
          </w:tcPr>
          <w:p>
            <w:pPr>
              <w:spacing w:after="0"/>
            </w:pPr>
            <w:r/>
            <w:r>
              <w:rPr>
                <w:rFonts w:ascii="Aptos" w:hAnsi="Aptos"/>
                <w:b w:val="0"/>
                <w:sz w:val="17"/>
              </w:rPr>
              <w:t>Python 3.11+; FastAPI 0.140.0; SQLAlchemy 2.0.51; Uvicorn 0.51.0; Pydantic 2.13.4; Mistral SDK 2.7.2; MCP 1.28.1.</w:t>
            </w:r>
          </w:p>
        </w:tc>
      </w:tr>
      <w:tr>
        <w:tc>
          <w:tcPr>
            <w:tcW w:type="dxa" w:w="2268"/>
            <w:vAlign w:val="center"/>
            <w:shd w:fill="F3F6F8"/>
          </w:tcPr>
          <w:p>
            <w:pPr>
              <w:spacing w:after="0"/>
            </w:pPr>
            <w:r/>
            <w:r>
              <w:rPr>
                <w:rFonts w:ascii="Aptos" w:hAnsi="Aptos"/>
                <w:b w:val="0"/>
                <w:sz w:val="17"/>
              </w:rPr>
              <w:t>Frontend</w:t>
            </w:r>
          </w:p>
        </w:tc>
        <w:tc>
          <w:tcPr>
            <w:tcW w:type="dxa" w:w="7937"/>
            <w:vAlign w:val="center"/>
          </w:tcPr>
          <w:p>
            <w:pPr>
              <w:spacing w:after="0"/>
            </w:pPr>
            <w:r/>
            <w:r>
              <w:rPr>
                <w:rFonts w:ascii="Aptos" w:hAnsi="Aptos"/>
                <w:b w:val="0"/>
                <w:sz w:val="17"/>
              </w:rPr>
              <w:t>React 19.2.0; TypeScript 5.8.3; TanStack Start 1.167.50; Vite 8.0.16; Tailwind CSS 4.2.1.</w:t>
            </w:r>
          </w:p>
        </w:tc>
      </w:tr>
      <w:tr>
        <w:tc>
          <w:tcPr>
            <w:tcW w:type="dxa" w:w="2268"/>
            <w:vAlign w:val="center"/>
            <w:shd w:fill="F3F6F8"/>
          </w:tcPr>
          <w:p>
            <w:pPr>
              <w:spacing w:after="0"/>
            </w:pPr>
            <w:r/>
            <w:r>
              <w:rPr>
                <w:rFonts w:ascii="Aptos" w:hAnsi="Aptos"/>
                <w:b w:val="0"/>
                <w:sz w:val="17"/>
              </w:rPr>
              <w:t>Data / export</w:t>
            </w:r>
          </w:p>
        </w:tc>
        <w:tc>
          <w:tcPr>
            <w:tcW w:type="dxa" w:w="7937"/>
            <w:vAlign w:val="center"/>
          </w:tcPr>
          <w:p>
            <w:pPr>
              <w:spacing w:after="0"/>
            </w:pPr>
            <w:r/>
            <w:r>
              <w:rPr>
                <w:rFonts w:ascii="Aptos" w:hAnsi="Aptos"/>
                <w:b w:val="0"/>
                <w:sz w:val="17"/>
              </w:rPr>
              <w:t>PostgreSQL (server version TBC); psycopg 3.3.4; python-docx 1.2.0; ReportLab 4.5.1; python-pptx 1.0.2.</w:t>
            </w:r>
          </w:p>
        </w:tc>
      </w:tr>
      <w:tr>
        <w:tc>
          <w:tcPr>
            <w:tcW w:type="dxa" w:w="2268"/>
            <w:vAlign w:val="center"/>
            <w:shd w:fill="F3F6F8"/>
          </w:tcPr>
          <w:p>
            <w:pPr>
              <w:spacing w:after="0"/>
            </w:pPr>
            <w:r/>
            <w:r>
              <w:rPr>
                <w:rFonts w:ascii="Aptos" w:hAnsi="Aptos"/>
                <w:b w:val="0"/>
                <w:sz w:val="17"/>
              </w:rPr>
              <w:t>AI models</w:t>
            </w:r>
          </w:p>
        </w:tc>
        <w:tc>
          <w:tcPr>
            <w:tcW w:type="dxa" w:w="7937"/>
            <w:vAlign w:val="center"/>
          </w:tcPr>
          <w:p>
            <w:pPr>
              <w:spacing w:after="0"/>
            </w:pPr>
            <w:r/>
            <w:r>
              <w:rPr>
                <w:rFonts w:ascii="Aptos" w:hAnsi="Aptos"/>
                <w:b w:val="0"/>
                <w:sz w:val="17"/>
              </w:rPr>
              <w:t>Mistral agent/model identifiers, model versions, embedding/retrieval versions and evaluator versions must be exported from the production account and frozen per release — TBC.</w:t>
            </w:r>
          </w:p>
        </w:tc>
      </w:tr>
      <w:tr>
        <w:tc>
          <w:tcPr>
            <w:tcW w:type="dxa" w:w="2268"/>
            <w:vAlign w:val="center"/>
            <w:shd w:fill="F3F6F8"/>
          </w:tcPr>
          <w:p>
            <w:pPr>
              <w:spacing w:after="0"/>
            </w:pPr>
            <w:r/>
            <w:r>
              <w:rPr>
                <w:rFonts w:ascii="Aptos" w:hAnsi="Aptos"/>
                <w:b w:val="0"/>
                <w:sz w:val="17"/>
              </w:rPr>
              <w:t>Firmware</w:t>
            </w:r>
          </w:p>
        </w:tc>
        <w:tc>
          <w:tcPr>
            <w:tcW w:type="dxa" w:w="7937"/>
            <w:vAlign w:val="center"/>
          </w:tcPr>
          <w:p>
            <w:pPr>
              <w:spacing w:after="0"/>
            </w:pPr>
            <w:r/>
            <w:r>
              <w:rPr>
                <w:rFonts w:ascii="Aptos" w:hAnsi="Aptos"/>
                <w:b w:val="0"/>
                <w:sz w:val="17"/>
              </w:rPr>
              <w:t>No dedicated firmware in repository; production host/container firmware and patch baseline TBC.</w:t>
            </w:r>
          </w:p>
        </w:tc>
      </w:tr>
      <w:tr>
        <w:tc>
          <w:tcPr>
            <w:tcW w:type="dxa" w:w="2268"/>
            <w:vAlign w:val="center"/>
            <w:shd w:fill="F3F6F8"/>
          </w:tcPr>
          <w:p>
            <w:pPr>
              <w:spacing w:after="0"/>
            </w:pPr>
            <w:r/>
            <w:r>
              <w:rPr>
                <w:rFonts w:ascii="Aptos" w:hAnsi="Aptos"/>
                <w:b w:val="0"/>
                <w:sz w:val="17"/>
              </w:rPr>
              <w:t>Update requirement</w:t>
            </w:r>
          </w:p>
        </w:tc>
        <w:tc>
          <w:tcPr>
            <w:tcW w:type="dxa" w:w="7937"/>
            <w:vAlign w:val="center"/>
          </w:tcPr>
          <w:p>
            <w:pPr>
              <w:spacing w:after="0"/>
            </w:pPr>
            <w:r/>
            <w:r>
              <w:rPr>
                <w:rFonts w:ascii="Aptos" w:hAnsi="Aptos"/>
                <w:b w:val="0"/>
                <w:sz w:val="17"/>
              </w:rPr>
              <w:t>Dependency updates require impact assessment, security scan, regression testing and controlled deployment; formal SOP and approval evidence TBC.</w:t>
            </w:r>
          </w:p>
        </w:tc>
      </w:tr>
    </w:tbl>
    <w:p>
      <w:pPr>
        <w:spacing w:after="0"/>
      </w:pPr>
    </w:p>
    <w:p>
      <w:pPr>
        <w:pStyle w:val="Heading2"/>
      </w:pPr>
      <w:r>
        <w:t>2.5 Intended hardware and environment</w:t>
      </w:r>
    </w:p>
    <w:p>
      <w:r>
        <w:t>Local prerequisites are Python 3.11+, Node.js 18+, PostgreSQL or Docker, and network access to Mistral services. No dedicated AI accelerator is specified because model inference is externally hosted. Production CPU, memory, storage, network, operating system, browser support, availability, backup, disaster recovery and capacity requirements remain TBC. Product photographs and physical marking are not applicable to this software-only baseline; approve that rationale if distribution changes.</w:t>
      </w:r>
    </w:p>
    <w:p>
      <w:pPr>
        <w:pStyle w:val="Heading2"/>
      </w:pPr>
      <w:r>
        <w:t>2.6 Installation and use instructions</w:t>
      </w:r>
    </w:p>
    <w:p>
      <w:r>
        <w:t>Installation guidance is maintained in CreditDossier_1.0_Installation_Manual_v1.0_Updated.docx, README.md and run.md. A release-controlled Instructions for Use must additionally describe user qualifications, intended/excluded uses, input quality, output interpretation, oversight, known limitations, error handling, incident reporting and safe shutdown. Appendix C provides the minimum user-facing warning set.</w:t>
      </w:r>
    </w:p>
    <w:p>
      <w:pPr>
        <w:pStyle w:val="Heading1"/>
      </w:pPr>
      <w:r>
        <w:t>3. Development methods and design specifications</w:t>
      </w:r>
    </w:p>
    <w:p>
      <w:pPr>
        <w:pStyle w:val="Heading2"/>
      </w:pPr>
      <w:r>
        <w:t>3.1 Development approach</w:t>
      </w:r>
    </w:p>
    <w:p>
      <w:pPr>
        <w:pStyle w:val="ListNumber"/>
      </w:pPr>
      <w:r>
        <w:t>Define sixteen standard credit sections and section-specific agent instructions.</w:t>
      </w:r>
    </w:p>
    <w:p>
      <w:pPr>
        <w:pStyle w:val="ListNumber"/>
      </w:pPr>
      <w:r>
        <w:t>Ingest or reference company-library and deal-library evidence; obtain structured credit data through MCP; optionally retrieve approved URLs.</w:t>
      </w:r>
    </w:p>
    <w:p>
      <w:pPr>
        <w:pStyle w:val="ListNumber"/>
      </w:pPr>
      <w:r>
        <w:t>Moderate custom instructions and output templates before generation.</w:t>
      </w:r>
    </w:p>
    <w:p>
      <w:pPr>
        <w:pStyle w:val="ListNumber"/>
      </w:pPr>
      <w:r>
        <w:t>Use orchestration to rank documents, priority data, queries and information gaps.</w:t>
      </w:r>
    </w:p>
    <w:p>
      <w:pPr>
        <w:pStyle w:val="ListNumber"/>
      </w:pPr>
      <w:r>
        <w:t>Assemble section-specific deal context and bounded grounding context.</w:t>
      </w:r>
    </w:p>
    <w:p>
      <w:pPr>
        <w:pStyle w:val="ListNumber"/>
      </w:pPr>
      <w:r>
        <w:t>Generate a narrative through the applicable Mistral section agent with document-library retrieval.</w:t>
      </w:r>
    </w:p>
    <w:p>
      <w:pPr>
        <w:pStyle w:val="ListNumber"/>
      </w:pPr>
      <w:r>
        <w:t>Normalize source markers; capture retrieved-source metadata and claim classifications.</w:t>
      </w:r>
    </w:p>
    <w:p>
      <w:pPr>
        <w:pStyle w:val="ListNumber"/>
      </w:pPr>
      <w:r>
        <w:t>Evaluate grounded, inferred and unsupported claims; calculate a confidence score.</w:t>
      </w:r>
    </w:p>
    <w:p>
      <w:pPr>
        <w:pStyle w:val="ListNumber"/>
      </w:pPr>
      <w:r>
        <w:t>Persist content, evidence/observability details, narrative version, status and audit event for human review.</w:t>
      </w:r>
    </w:p>
    <w:p>
      <w:pPr>
        <w:pStyle w:val="Heading2"/>
      </w:pPr>
      <w:r>
        <w:t>3.2 Third-party pre-trained systems and tools</w:t>
      </w: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1701"/>
            <w:vAlign w:val="center"/>
            <w:shd w:fill="17365D"/>
          </w:tcPr>
          <w:p>
            <w:pPr>
              <w:spacing w:after="0"/>
            </w:pPr>
            <w:r/>
            <w:r>
              <w:rPr>
                <w:rFonts w:ascii="Aptos" w:hAnsi="Aptos"/>
                <w:b/>
                <w:color w:val="FFFFFF"/>
                <w:sz w:val="17"/>
              </w:rPr>
              <w:t>Third party</w:t>
            </w:r>
          </w:p>
        </w:tc>
        <w:tc>
          <w:tcPr>
            <w:tcW w:type="dxa" w:w="2551"/>
            <w:vAlign w:val="center"/>
            <w:shd w:fill="17365D"/>
          </w:tcPr>
          <w:p>
            <w:pPr>
              <w:spacing w:after="0"/>
            </w:pPr>
            <w:r/>
            <w:r>
              <w:rPr>
                <w:rFonts w:ascii="Aptos" w:hAnsi="Aptos"/>
                <w:b/>
                <w:color w:val="FFFFFF"/>
                <w:sz w:val="17"/>
              </w:rPr>
              <w:t>Use</w:t>
            </w:r>
          </w:p>
        </w:tc>
        <w:tc>
          <w:tcPr>
            <w:tcW w:type="dxa" w:w="3685"/>
            <w:vAlign w:val="center"/>
            <w:shd w:fill="17365D"/>
          </w:tcPr>
          <w:p>
            <w:pPr>
              <w:spacing w:after="0"/>
            </w:pPr>
            <w:r/>
            <w:r>
              <w:rPr>
                <w:rFonts w:ascii="Aptos" w:hAnsi="Aptos"/>
                <w:b/>
                <w:color w:val="FFFFFF"/>
                <w:sz w:val="17"/>
              </w:rPr>
              <w:t>Integration / modification</w:t>
            </w:r>
          </w:p>
        </w:tc>
        <w:tc>
          <w:tcPr>
            <w:tcW w:type="dxa" w:w="2268"/>
            <w:vAlign w:val="center"/>
            <w:shd w:fill="17365D"/>
          </w:tcPr>
          <w:p>
            <w:pPr>
              <w:spacing w:after="0"/>
            </w:pPr>
            <w:r/>
            <w:r>
              <w:rPr>
                <w:rFonts w:ascii="Aptos" w:hAnsi="Aptos"/>
                <w:b/>
                <w:color w:val="FFFFFF"/>
                <w:sz w:val="17"/>
              </w:rPr>
              <w:t>Required supplier evidence</w:t>
            </w:r>
          </w:p>
        </w:tc>
      </w:tr>
      <w:tr>
        <w:tc>
          <w:tcPr>
            <w:tcW w:type="dxa" w:w="1701"/>
            <w:vAlign w:val="center"/>
            <w:shd w:fill="F3F6F8"/>
          </w:tcPr>
          <w:p>
            <w:pPr>
              <w:spacing w:after="0"/>
            </w:pPr>
            <w:r/>
            <w:r>
              <w:rPr>
                <w:rFonts w:ascii="Aptos" w:hAnsi="Aptos"/>
                <w:b w:val="0"/>
                <w:sz w:val="17"/>
              </w:rPr>
              <w:t>Mistral AI</w:t>
            </w:r>
          </w:p>
        </w:tc>
        <w:tc>
          <w:tcPr>
            <w:tcW w:type="dxa" w:w="2551"/>
            <w:vAlign w:val="center"/>
          </w:tcPr>
          <w:p>
            <w:pPr>
              <w:spacing w:after="0"/>
            </w:pPr>
            <w:r/>
            <w:r>
              <w:rPr>
                <w:rFonts w:ascii="Aptos" w:hAnsi="Aptos"/>
                <w:b w:val="0"/>
                <w:sz w:val="17"/>
              </w:rPr>
              <w:t>Agents, LLM inference, document libraries, OCR, moderation, observability judge and telemetry.</w:t>
            </w:r>
          </w:p>
        </w:tc>
        <w:tc>
          <w:tcPr>
            <w:tcW w:type="dxa" w:w="3685"/>
            <w:vAlign w:val="center"/>
          </w:tcPr>
          <w:p>
            <w:pPr>
              <w:spacing w:after="0"/>
            </w:pPr>
            <w:r/>
            <w:r>
              <w:rPr>
                <w:rFonts w:ascii="Aptos" w:hAnsi="Aptos"/>
                <w:b w:val="0"/>
                <w:sz w:val="17"/>
              </w:rPr>
              <w:t>Integrated through mistralai SDK and service APIs; section prompts, orchestration prompts, context selection and post-processing are application controlled. Base models are not trained in this repository.</w:t>
            </w:r>
          </w:p>
        </w:tc>
        <w:tc>
          <w:tcPr>
            <w:tcW w:type="dxa" w:w="2268"/>
            <w:vAlign w:val="center"/>
          </w:tcPr>
          <w:p>
            <w:pPr>
              <w:spacing w:after="0"/>
            </w:pPr>
            <w:r/>
            <w:r>
              <w:rPr>
                <w:rFonts w:ascii="Aptos" w:hAnsi="Aptos"/>
                <w:b w:val="0"/>
                <w:sz w:val="17"/>
              </w:rPr>
              <w:t>Model cards, service terms, data-use/retention, region, security, change notices, uptime and incident terms — TBC.</w:t>
            </w:r>
          </w:p>
        </w:tc>
      </w:tr>
      <w:tr>
        <w:tc>
          <w:tcPr>
            <w:tcW w:type="dxa" w:w="1701"/>
            <w:vAlign w:val="center"/>
            <w:shd w:fill="F3F6F8"/>
          </w:tcPr>
          <w:p>
            <w:pPr>
              <w:spacing w:after="0"/>
            </w:pPr>
            <w:r/>
            <w:r>
              <w:rPr>
                <w:rFonts w:ascii="Aptos" w:hAnsi="Aptos"/>
                <w:b w:val="0"/>
                <w:sz w:val="17"/>
              </w:rPr>
              <w:t>MCP ecosystem</w:t>
            </w:r>
          </w:p>
        </w:tc>
        <w:tc>
          <w:tcPr>
            <w:tcW w:type="dxa" w:w="2551"/>
            <w:vAlign w:val="center"/>
          </w:tcPr>
          <w:p>
            <w:pPr>
              <w:spacing w:after="0"/>
            </w:pPr>
            <w:r/>
            <w:r>
              <w:rPr>
                <w:rFonts w:ascii="Aptos" w:hAnsi="Aptos"/>
                <w:b w:val="0"/>
                <w:sz w:val="17"/>
              </w:rPr>
              <w:t>Local tool protocol for structured company data and document metadata.</w:t>
            </w:r>
          </w:p>
        </w:tc>
        <w:tc>
          <w:tcPr>
            <w:tcW w:type="dxa" w:w="3685"/>
            <w:vAlign w:val="center"/>
          </w:tcPr>
          <w:p>
            <w:pPr>
              <w:spacing w:after="0"/>
            </w:pPr>
            <w:r/>
            <w:r>
              <w:rPr>
                <w:rFonts w:ascii="Aptos" w:hAnsi="Aptos"/>
                <w:b w:val="0"/>
                <w:sz w:val="17"/>
              </w:rPr>
              <w:t>Local Python server exposes owner-scoped tools over SSE.</w:t>
            </w:r>
          </w:p>
        </w:tc>
        <w:tc>
          <w:tcPr>
            <w:tcW w:type="dxa" w:w="2268"/>
            <w:vAlign w:val="center"/>
          </w:tcPr>
          <w:p>
            <w:pPr>
              <w:spacing w:after="0"/>
            </w:pPr>
            <w:r/>
            <w:r>
              <w:rPr>
                <w:rFonts w:ascii="Aptos" w:hAnsi="Aptos"/>
                <w:b w:val="0"/>
                <w:sz w:val="17"/>
              </w:rPr>
              <w:t>Protocol/version compatibility and threat assessment — TBC.</w:t>
            </w:r>
          </w:p>
        </w:tc>
      </w:tr>
      <w:tr>
        <w:tc>
          <w:tcPr>
            <w:tcW w:type="dxa" w:w="1701"/>
            <w:vAlign w:val="center"/>
            <w:shd w:fill="F3F6F8"/>
          </w:tcPr>
          <w:p>
            <w:pPr>
              <w:spacing w:after="0"/>
            </w:pPr>
            <w:r/>
            <w:r>
              <w:rPr>
                <w:rFonts w:ascii="Aptos" w:hAnsi="Aptos"/>
                <w:b w:val="0"/>
                <w:sz w:val="17"/>
              </w:rPr>
              <w:t>Open-source dependencies</w:t>
            </w:r>
          </w:p>
        </w:tc>
        <w:tc>
          <w:tcPr>
            <w:tcW w:type="dxa" w:w="2551"/>
            <w:vAlign w:val="center"/>
          </w:tcPr>
          <w:p>
            <w:pPr>
              <w:spacing w:after="0"/>
            </w:pPr>
            <w:r/>
            <w:r>
              <w:rPr>
                <w:rFonts w:ascii="Aptos" w:hAnsi="Aptos"/>
                <w:b w:val="0"/>
                <w:sz w:val="17"/>
              </w:rPr>
              <w:t>Web/API, security, database, UI, parsing and export.</w:t>
            </w:r>
          </w:p>
        </w:tc>
        <w:tc>
          <w:tcPr>
            <w:tcW w:type="dxa" w:w="3685"/>
            <w:vAlign w:val="center"/>
          </w:tcPr>
          <w:p>
            <w:pPr>
              <w:spacing w:after="0"/>
            </w:pPr>
            <w:r/>
            <w:r>
              <w:rPr>
                <w:rFonts w:ascii="Aptos" w:hAnsi="Aptos"/>
                <w:b w:val="0"/>
                <w:sz w:val="17"/>
              </w:rPr>
              <w:t>Pinned backend versions and package-lock for frontend.</w:t>
            </w:r>
          </w:p>
        </w:tc>
        <w:tc>
          <w:tcPr>
            <w:tcW w:type="dxa" w:w="2268"/>
            <w:vAlign w:val="center"/>
          </w:tcPr>
          <w:p>
            <w:pPr>
              <w:spacing w:after="0"/>
            </w:pPr>
            <w:r/>
            <w:r>
              <w:rPr>
                <w:rFonts w:ascii="Aptos" w:hAnsi="Aptos"/>
                <w:b w:val="0"/>
                <w:sz w:val="17"/>
              </w:rPr>
              <w:t>SBOM, licenses, vulnerability scans and patch SLA — TBC.</w:t>
            </w:r>
          </w:p>
        </w:tc>
      </w:tr>
    </w:tbl>
    <w:p>
      <w:pPr>
        <w:spacing w:after="0"/>
      </w:pPr>
    </w:p>
    <w:p>
      <w:pPr>
        <w:pStyle w:val="Heading2"/>
      </w:pPr>
      <w:r>
        <w:t>3.3 Key design choices, rationale and trade-offs</w:t>
      </w:r>
    </w:p>
    <w:tbl>
      <w:tblPr>
        <w:tblStyle w:val="TableGrid"/>
        <w:tblW w:type="auto" w:w="0"/>
        <w:jc w:val="center"/>
        <w:tblLook w:firstColumn="1" w:firstRow="1" w:lastColumn="0" w:lastRow="0" w:noHBand="0" w:noVBand="1" w:val="04A0"/>
      </w:tblPr>
      <w:tblGrid>
        <w:gridCol w:w="3343"/>
        <w:gridCol w:w="3343"/>
        <w:gridCol w:w="3343"/>
      </w:tblGrid>
      <w:tr>
        <w:tc>
          <w:tcPr>
            <w:tcW w:type="dxa" w:w="2381"/>
            <w:vAlign w:val="center"/>
            <w:shd w:fill="17365D"/>
          </w:tcPr>
          <w:p>
            <w:pPr>
              <w:spacing w:after="0"/>
            </w:pPr>
            <w:r/>
            <w:r>
              <w:rPr>
                <w:rFonts w:ascii="Aptos" w:hAnsi="Aptos"/>
                <w:b/>
                <w:color w:val="FFFFFF"/>
                <w:sz w:val="17"/>
              </w:rPr>
              <w:t>Design choice</w:t>
            </w:r>
          </w:p>
        </w:tc>
        <w:tc>
          <w:tcPr>
            <w:tcW w:type="dxa" w:w="3685"/>
            <w:vAlign w:val="center"/>
            <w:shd w:fill="17365D"/>
          </w:tcPr>
          <w:p>
            <w:pPr>
              <w:spacing w:after="0"/>
            </w:pPr>
            <w:r/>
            <w:r>
              <w:rPr>
                <w:rFonts w:ascii="Aptos" w:hAnsi="Aptos"/>
                <w:b/>
                <w:color w:val="FFFFFF"/>
                <w:sz w:val="17"/>
              </w:rPr>
              <w:t>Rationale</w:t>
            </w:r>
          </w:p>
        </w:tc>
        <w:tc>
          <w:tcPr>
            <w:tcW w:type="dxa" w:w="4082"/>
            <w:vAlign w:val="center"/>
            <w:shd w:fill="17365D"/>
          </w:tcPr>
          <w:p>
            <w:pPr>
              <w:spacing w:after="0"/>
            </w:pPr>
            <w:r/>
            <w:r>
              <w:rPr>
                <w:rFonts w:ascii="Aptos" w:hAnsi="Aptos"/>
                <w:b/>
                <w:color w:val="FFFFFF"/>
                <w:sz w:val="17"/>
              </w:rPr>
              <w:t>Trade-off / residual concern</w:t>
            </w:r>
          </w:p>
        </w:tc>
      </w:tr>
      <w:tr>
        <w:tc>
          <w:tcPr>
            <w:tcW w:type="dxa" w:w="2381"/>
            <w:vAlign w:val="center"/>
            <w:shd w:fill="F3F6F8"/>
          </w:tcPr>
          <w:p>
            <w:pPr>
              <w:spacing w:after="0"/>
            </w:pPr>
            <w:r/>
            <w:r>
              <w:rPr>
                <w:rFonts w:ascii="Aptos" w:hAnsi="Aptos"/>
                <w:b w:val="0"/>
                <w:sz w:val="17"/>
              </w:rPr>
              <w:t>Retrieval-augmented generation from company/deal libraries</w:t>
            </w:r>
          </w:p>
        </w:tc>
        <w:tc>
          <w:tcPr>
            <w:tcW w:type="dxa" w:w="3685"/>
            <w:vAlign w:val="center"/>
          </w:tcPr>
          <w:p>
            <w:pPr>
              <w:spacing w:after="0"/>
            </w:pPr>
            <w:r/>
            <w:r>
              <w:rPr>
                <w:rFonts w:ascii="Aptos" w:hAnsi="Aptos"/>
                <w:b w:val="0"/>
                <w:sz w:val="17"/>
              </w:rPr>
              <w:t>Ground prose in deal evidence and enable source inspection.</w:t>
            </w:r>
          </w:p>
        </w:tc>
        <w:tc>
          <w:tcPr>
            <w:tcW w:type="dxa" w:w="4082"/>
            <w:vAlign w:val="center"/>
          </w:tcPr>
          <w:p>
            <w:pPr>
              <w:spacing w:after="0"/>
            </w:pPr>
            <w:r/>
            <w:r>
              <w:rPr>
                <w:rFonts w:ascii="Aptos" w:hAnsi="Aptos"/>
                <w:b w:val="0"/>
                <w:sz w:val="17"/>
              </w:rPr>
              <w:t>Retrieval can omit, mis-rank or misattribute evidence; citations need independent validation.</w:t>
            </w:r>
          </w:p>
        </w:tc>
      </w:tr>
      <w:tr>
        <w:tc>
          <w:tcPr>
            <w:tcW w:type="dxa" w:w="2381"/>
            <w:vAlign w:val="center"/>
            <w:shd w:fill="F3F6F8"/>
          </w:tcPr>
          <w:p>
            <w:pPr>
              <w:spacing w:after="0"/>
            </w:pPr>
            <w:r/>
            <w:r>
              <w:rPr>
                <w:rFonts w:ascii="Aptos" w:hAnsi="Aptos"/>
                <w:b w:val="0"/>
                <w:sz w:val="17"/>
              </w:rPr>
              <w:t>Section-specialized agents</w:t>
            </w:r>
          </w:p>
        </w:tc>
        <w:tc>
          <w:tcPr>
            <w:tcW w:type="dxa" w:w="3685"/>
            <w:vAlign w:val="center"/>
          </w:tcPr>
          <w:p>
            <w:pPr>
              <w:spacing w:after="0"/>
            </w:pPr>
            <w:r/>
            <w:r>
              <w:rPr>
                <w:rFonts w:ascii="Aptos" w:hAnsi="Aptos"/>
                <w:b w:val="0"/>
                <w:sz w:val="17"/>
              </w:rPr>
              <w:t>Constrain tasks and prompts to distinct credit-analysis sections.</w:t>
            </w:r>
          </w:p>
        </w:tc>
        <w:tc>
          <w:tcPr>
            <w:tcW w:type="dxa" w:w="4082"/>
            <w:vAlign w:val="center"/>
          </w:tcPr>
          <w:p>
            <w:pPr>
              <w:spacing w:after="0"/>
            </w:pPr>
            <w:r/>
            <w:r>
              <w:rPr>
                <w:rFonts w:ascii="Aptos" w:hAnsi="Aptos"/>
                <w:b w:val="0"/>
                <w:sz w:val="17"/>
              </w:rPr>
              <w:t>More agents increase configuration drift and validation surface.</w:t>
            </w:r>
          </w:p>
        </w:tc>
      </w:tr>
      <w:tr>
        <w:tc>
          <w:tcPr>
            <w:tcW w:type="dxa" w:w="2381"/>
            <w:vAlign w:val="center"/>
            <w:shd w:fill="F3F6F8"/>
          </w:tcPr>
          <w:p>
            <w:pPr>
              <w:spacing w:after="0"/>
            </w:pPr>
            <w:r/>
            <w:r>
              <w:rPr>
                <w:rFonts w:ascii="Aptos" w:hAnsi="Aptos"/>
                <w:b w:val="0"/>
                <w:sz w:val="17"/>
              </w:rPr>
              <w:t>Orchestration before generation</w:t>
            </w:r>
          </w:p>
        </w:tc>
        <w:tc>
          <w:tcPr>
            <w:tcW w:type="dxa" w:w="3685"/>
            <w:vAlign w:val="center"/>
          </w:tcPr>
          <w:p>
            <w:pPr>
              <w:spacing w:after="0"/>
            </w:pPr>
            <w:r/>
            <w:r>
              <w:rPr>
                <w:rFonts w:ascii="Aptos" w:hAnsi="Aptos"/>
                <w:b w:val="0"/>
                <w:sz w:val="17"/>
              </w:rPr>
              <w:t>Prioritize sources and identify gaps.</w:t>
            </w:r>
          </w:p>
        </w:tc>
        <w:tc>
          <w:tcPr>
            <w:tcW w:type="dxa" w:w="4082"/>
            <w:vAlign w:val="center"/>
          </w:tcPr>
          <w:p>
            <w:pPr>
              <w:spacing w:after="0"/>
            </w:pPr>
            <w:r/>
            <w:r>
              <w:rPr>
                <w:rFonts w:ascii="Aptos" w:hAnsi="Aptos"/>
                <w:b w:val="0"/>
                <w:sz w:val="17"/>
              </w:rPr>
              <w:t>Adds latency, cost and another model-mediated failure point.</w:t>
            </w:r>
          </w:p>
        </w:tc>
      </w:tr>
      <w:tr>
        <w:tc>
          <w:tcPr>
            <w:tcW w:type="dxa" w:w="2381"/>
            <w:vAlign w:val="center"/>
            <w:shd w:fill="F3F6F8"/>
          </w:tcPr>
          <w:p>
            <w:pPr>
              <w:spacing w:after="0"/>
            </w:pPr>
            <w:r/>
            <w:r>
              <w:rPr>
                <w:rFonts w:ascii="Aptos" w:hAnsi="Aptos"/>
                <w:b w:val="0"/>
                <w:sz w:val="17"/>
              </w:rPr>
              <w:t>Human draft/review/approval workflow</w:t>
            </w:r>
          </w:p>
        </w:tc>
        <w:tc>
          <w:tcPr>
            <w:tcW w:type="dxa" w:w="3685"/>
            <w:vAlign w:val="center"/>
          </w:tcPr>
          <w:p>
            <w:pPr>
              <w:spacing w:after="0"/>
            </w:pPr>
            <w:r/>
            <w:r>
              <w:rPr>
                <w:rFonts w:ascii="Aptos" w:hAnsi="Aptos"/>
                <w:b w:val="0"/>
                <w:sz w:val="17"/>
              </w:rPr>
              <w:t>Keep accountable professionals in control of conclusions and release.</w:t>
            </w:r>
          </w:p>
        </w:tc>
        <w:tc>
          <w:tcPr>
            <w:tcW w:type="dxa" w:w="4082"/>
            <w:vAlign w:val="center"/>
          </w:tcPr>
          <w:p>
            <w:pPr>
              <w:spacing w:after="0"/>
            </w:pPr>
            <w:r/>
            <w:r>
              <w:rPr>
                <w:rFonts w:ascii="Aptos" w:hAnsi="Aptos"/>
                <w:b w:val="0"/>
                <w:sz w:val="17"/>
              </w:rPr>
              <w:t>Automation bias remains; reviewers need training, time and source access.</w:t>
            </w:r>
          </w:p>
        </w:tc>
      </w:tr>
      <w:tr>
        <w:tc>
          <w:tcPr>
            <w:tcW w:type="dxa" w:w="2381"/>
            <w:vAlign w:val="center"/>
            <w:shd w:fill="F3F6F8"/>
          </w:tcPr>
          <w:p>
            <w:pPr>
              <w:spacing w:after="0"/>
            </w:pPr>
            <w:r/>
            <w:r>
              <w:rPr>
                <w:rFonts w:ascii="Aptos" w:hAnsi="Aptos"/>
                <w:b w:val="0"/>
                <w:sz w:val="17"/>
              </w:rPr>
              <w:t>Global agents with lock-protected library rebinding</w:t>
            </w:r>
          </w:p>
        </w:tc>
        <w:tc>
          <w:tcPr>
            <w:tcW w:type="dxa" w:w="3685"/>
            <w:vAlign w:val="center"/>
          </w:tcPr>
          <w:p>
            <w:pPr>
              <w:spacing w:after="0"/>
            </w:pPr>
            <w:r/>
            <w:r>
              <w:rPr>
                <w:rFonts w:ascii="Aptos" w:hAnsi="Aptos"/>
                <w:b w:val="0"/>
                <w:sz w:val="17"/>
              </w:rPr>
              <w:t>Reuse initialized agents while limiting cross-request source binding.</w:t>
            </w:r>
          </w:p>
        </w:tc>
        <w:tc>
          <w:tcPr>
            <w:tcW w:type="dxa" w:w="4082"/>
            <w:vAlign w:val="center"/>
          </w:tcPr>
          <w:p>
            <w:pPr>
              <w:spacing w:after="0"/>
            </w:pPr>
            <w:r/>
            <w:r>
              <w:rPr>
                <w:rFonts w:ascii="Aptos" w:hAnsi="Aptos"/>
                <w:b w:val="0"/>
                <w:sz w:val="17"/>
              </w:rPr>
              <w:t>Process-local lock is not safe across multiple workers; repository records this as planned remediation.</w:t>
            </w:r>
          </w:p>
        </w:tc>
      </w:tr>
      <w:tr>
        <w:tc>
          <w:tcPr>
            <w:tcW w:type="dxa" w:w="2381"/>
            <w:vAlign w:val="center"/>
            <w:shd w:fill="F3F6F8"/>
          </w:tcPr>
          <w:p>
            <w:pPr>
              <w:spacing w:after="0"/>
            </w:pPr>
            <w:r/>
            <w:r>
              <w:rPr>
                <w:rFonts w:ascii="Aptos" w:hAnsi="Aptos"/>
                <w:b w:val="0"/>
                <w:sz w:val="17"/>
              </w:rPr>
              <w:t>Moderation fail-open on service failure</w:t>
            </w:r>
          </w:p>
        </w:tc>
        <w:tc>
          <w:tcPr>
            <w:tcW w:type="dxa" w:w="3685"/>
            <w:vAlign w:val="center"/>
          </w:tcPr>
          <w:p>
            <w:pPr>
              <w:spacing w:after="0"/>
            </w:pPr>
            <w:r/>
            <w:r>
              <w:rPr>
                <w:rFonts w:ascii="Aptos" w:hAnsi="Aptos"/>
                <w:b w:val="0"/>
                <w:sz w:val="17"/>
              </w:rPr>
              <w:t>Preserves availability.</w:t>
            </w:r>
          </w:p>
        </w:tc>
        <w:tc>
          <w:tcPr>
            <w:tcW w:type="dxa" w:w="4082"/>
            <w:vAlign w:val="center"/>
          </w:tcPr>
          <w:p>
            <w:pPr>
              <w:spacing w:after="0"/>
            </w:pPr>
            <w:r/>
            <w:r>
              <w:rPr>
                <w:rFonts w:ascii="Aptos" w:hAnsi="Aptos"/>
                <w:b w:val="0"/>
                <w:sz w:val="17"/>
              </w:rPr>
              <w:t>Not suitable by default for regulated production; risk owner must decide and document fail-closed behavior.</w:t>
            </w:r>
          </w:p>
        </w:tc>
      </w:tr>
      <w:tr>
        <w:tc>
          <w:tcPr>
            <w:tcW w:type="dxa" w:w="2381"/>
            <w:vAlign w:val="center"/>
            <w:shd w:fill="F3F6F8"/>
          </w:tcPr>
          <w:p>
            <w:pPr>
              <w:spacing w:after="0"/>
            </w:pPr>
            <w:r/>
            <w:r>
              <w:rPr>
                <w:rFonts w:ascii="Aptos" w:hAnsi="Aptos"/>
                <w:b w:val="0"/>
                <w:sz w:val="17"/>
              </w:rPr>
              <w:t>Confidence judge with fallback evaluator</w:t>
            </w:r>
          </w:p>
        </w:tc>
        <w:tc>
          <w:tcPr>
            <w:tcW w:type="dxa" w:w="3685"/>
            <w:vAlign w:val="center"/>
          </w:tcPr>
          <w:p>
            <w:pPr>
              <w:spacing w:after="0"/>
            </w:pPr>
            <w:r/>
            <w:r>
              <w:rPr>
                <w:rFonts w:ascii="Aptos" w:hAnsi="Aptos"/>
                <w:b w:val="0"/>
                <w:sz w:val="17"/>
              </w:rPr>
              <w:t>Provide a comparable signal when configured.</w:t>
            </w:r>
          </w:p>
        </w:tc>
        <w:tc>
          <w:tcPr>
            <w:tcW w:type="dxa" w:w="4082"/>
            <w:vAlign w:val="center"/>
          </w:tcPr>
          <w:p>
            <w:pPr>
              <w:spacing w:after="0"/>
            </w:pPr>
            <w:r/>
            <w:r>
              <w:rPr>
                <w:rFonts w:ascii="Aptos" w:hAnsi="Aptos"/>
                <w:b w:val="0"/>
                <w:sz w:val="17"/>
              </w:rPr>
              <w:t>Scores are not probabilities and may be misleading without calibration and evaluator-version records.</w:t>
            </w:r>
          </w:p>
        </w:tc>
      </w:tr>
      <w:tr>
        <w:tc>
          <w:tcPr>
            <w:tcW w:type="dxa" w:w="2381"/>
            <w:vAlign w:val="center"/>
            <w:shd w:fill="F3F6F8"/>
          </w:tcPr>
          <w:p>
            <w:pPr>
              <w:spacing w:after="0"/>
            </w:pPr>
            <w:r/>
            <w:r>
              <w:rPr>
                <w:rFonts w:ascii="Aptos" w:hAnsi="Aptos"/>
                <w:b w:val="0"/>
                <w:sz w:val="17"/>
              </w:rPr>
              <w:t>Immutable submission snapshots</w:t>
            </w:r>
          </w:p>
        </w:tc>
        <w:tc>
          <w:tcPr>
            <w:tcW w:type="dxa" w:w="3685"/>
            <w:vAlign w:val="center"/>
          </w:tcPr>
          <w:p>
            <w:pPr>
              <w:spacing w:after="0"/>
            </w:pPr>
            <w:r/>
            <w:r>
              <w:rPr>
                <w:rFonts w:ascii="Aptos" w:hAnsi="Aptos"/>
                <w:b w:val="0"/>
                <w:sz w:val="17"/>
              </w:rPr>
              <w:t>Preserve reviewed state independently of later edits.</w:t>
            </w:r>
          </w:p>
        </w:tc>
        <w:tc>
          <w:tcPr>
            <w:tcW w:type="dxa" w:w="4082"/>
            <w:vAlign w:val="center"/>
          </w:tcPr>
          <w:p>
            <w:pPr>
              <w:spacing w:after="0"/>
            </w:pPr>
            <w:r/>
            <w:r>
              <w:rPr>
                <w:rFonts w:ascii="Aptos" w:hAnsi="Aptos"/>
                <w:b w:val="0"/>
                <w:sz w:val="17"/>
              </w:rPr>
              <w:t>Focused immutability and legacy-fallback tests remain planned.</w:t>
            </w:r>
          </w:p>
        </w:tc>
      </w:tr>
    </w:tbl>
    <w:p>
      <w:pPr>
        <w:spacing w:after="0"/>
      </w:pPr>
    </w:p>
    <w:p>
      <w:pPr>
        <w:pStyle w:val="Heading1"/>
      </w:pPr>
      <w:r>
        <w:t>4. System architecture and computational resources</w:t>
      </w:r>
    </w:p>
    <w:p>
      <w:r>
        <w:t>The system is a FastAPI monolith with a React client, local credit-intelligence MCP, Mistral-managed agents/libraries and relational persistence. The diagram below is part of the repository evidence baseline.</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credit-dossier-component-diagram-v2.png"/>
                    <pic:cNvPicPr/>
                  </pic:nvPicPr>
                  <pic:blipFill>
                    <a:blip r:embed="rId11"/>
                    <a:stretch>
                      <a:fillRect/>
                    </a:stretch>
                  </pic:blipFill>
                  <pic:spPr>
                    <a:xfrm>
                      <a:off x="0" y="0"/>
                      <a:ext cx="6035040" cy="4023360"/>
                    </a:xfrm>
                    <a:prstGeom prst="rect"/>
                  </pic:spPr>
                </pic:pic>
              </a:graphicData>
            </a:graphic>
          </wp:inline>
        </w:drawing>
      </w:r>
    </w:p>
    <w:p>
      <w:pPr>
        <w:jc w:val="center"/>
      </w:pPr>
      <w:r>
        <w:rPr>
          <w:i/>
        </w:rPr>
        <w:t>Figure 1 — Credit Dossier component architecture</w:t>
      </w:r>
    </w:p>
    <w:p>
      <w:pPr>
        <w:pStyle w:val="Heading2"/>
      </w:pPr>
      <w:r>
        <w:t>4.1 Component responsibilities</w:t>
      </w: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1814"/>
            <w:vAlign w:val="center"/>
            <w:shd w:fill="17365D"/>
          </w:tcPr>
          <w:p>
            <w:pPr>
              <w:spacing w:after="0"/>
            </w:pPr>
            <w:r/>
            <w:r>
              <w:rPr>
                <w:rFonts w:ascii="Aptos" w:hAnsi="Aptos"/>
                <w:b/>
                <w:color w:val="FFFFFF"/>
                <w:sz w:val="17"/>
              </w:rPr>
              <w:t>Component</w:t>
            </w:r>
          </w:p>
        </w:tc>
        <w:tc>
          <w:tcPr>
            <w:tcW w:type="dxa" w:w="3515"/>
            <w:vAlign w:val="center"/>
            <w:shd w:fill="17365D"/>
          </w:tcPr>
          <w:p>
            <w:pPr>
              <w:spacing w:after="0"/>
            </w:pPr>
            <w:r/>
            <w:r>
              <w:rPr>
                <w:rFonts w:ascii="Aptos" w:hAnsi="Aptos"/>
                <w:b/>
                <w:color w:val="FFFFFF"/>
                <w:sz w:val="17"/>
              </w:rPr>
              <w:t>Responsibility</w:t>
            </w:r>
          </w:p>
        </w:tc>
        <w:tc>
          <w:tcPr>
            <w:tcW w:type="dxa" w:w="2438"/>
            <w:vAlign w:val="center"/>
            <w:shd w:fill="17365D"/>
          </w:tcPr>
          <w:p>
            <w:pPr>
              <w:spacing w:after="0"/>
            </w:pPr>
            <w:r/>
            <w:r>
              <w:rPr>
                <w:rFonts w:ascii="Aptos" w:hAnsi="Aptos"/>
                <w:b/>
                <w:color w:val="FFFFFF"/>
                <w:sz w:val="17"/>
              </w:rPr>
              <w:t>Primary inputs</w:t>
            </w:r>
          </w:p>
        </w:tc>
        <w:tc>
          <w:tcPr>
            <w:tcW w:type="dxa" w:w="2438"/>
            <w:vAlign w:val="center"/>
            <w:shd w:fill="17365D"/>
          </w:tcPr>
          <w:p>
            <w:pPr>
              <w:spacing w:after="0"/>
            </w:pPr>
            <w:r/>
            <w:r>
              <w:rPr>
                <w:rFonts w:ascii="Aptos" w:hAnsi="Aptos"/>
                <w:b/>
                <w:color w:val="FFFFFF"/>
                <w:sz w:val="17"/>
              </w:rPr>
              <w:t>Primary outputs</w:t>
            </w:r>
          </w:p>
        </w:tc>
      </w:tr>
      <w:tr>
        <w:tc>
          <w:tcPr>
            <w:tcW w:type="dxa" w:w="1814"/>
            <w:vAlign w:val="center"/>
            <w:shd w:fill="F3F6F8"/>
          </w:tcPr>
          <w:p>
            <w:pPr>
              <w:spacing w:after="0"/>
            </w:pPr>
            <w:r/>
            <w:r>
              <w:rPr>
                <w:rFonts w:ascii="Aptos" w:hAnsi="Aptos"/>
                <w:b w:val="0"/>
                <w:sz w:val="17"/>
              </w:rPr>
              <w:t>React frontend</w:t>
            </w:r>
          </w:p>
        </w:tc>
        <w:tc>
          <w:tcPr>
            <w:tcW w:type="dxa" w:w="3515"/>
            <w:vAlign w:val="center"/>
          </w:tcPr>
          <w:p>
            <w:pPr>
              <w:spacing w:after="0"/>
            </w:pPr>
            <w:r/>
            <w:r>
              <w:rPr>
                <w:rFonts w:ascii="Aptos" w:hAnsi="Aptos"/>
                <w:b w:val="0"/>
                <w:sz w:val="17"/>
              </w:rPr>
              <w:t>Authenticated workflows for deals, sources, narratives, review, export and observability.</w:t>
            </w:r>
          </w:p>
        </w:tc>
        <w:tc>
          <w:tcPr>
            <w:tcW w:type="dxa" w:w="2438"/>
            <w:vAlign w:val="center"/>
          </w:tcPr>
          <w:p>
            <w:pPr>
              <w:spacing w:after="0"/>
            </w:pPr>
            <w:r/>
            <w:r>
              <w:rPr>
                <w:rFonts w:ascii="Aptos" w:hAnsi="Aptos"/>
                <w:b w:val="0"/>
                <w:sz w:val="17"/>
              </w:rPr>
              <w:t>User actions; API responses.</w:t>
            </w:r>
          </w:p>
        </w:tc>
        <w:tc>
          <w:tcPr>
            <w:tcW w:type="dxa" w:w="2438"/>
            <w:vAlign w:val="center"/>
          </w:tcPr>
          <w:p>
            <w:pPr>
              <w:spacing w:after="0"/>
            </w:pPr>
            <w:r/>
            <w:r>
              <w:rPr>
                <w:rFonts w:ascii="Aptos" w:hAnsi="Aptos"/>
                <w:b w:val="0"/>
                <w:sz w:val="17"/>
              </w:rPr>
              <w:t>Validated requests; rendered content.</w:t>
            </w:r>
          </w:p>
        </w:tc>
      </w:tr>
      <w:tr>
        <w:tc>
          <w:tcPr>
            <w:tcW w:type="dxa" w:w="1814"/>
            <w:vAlign w:val="center"/>
            <w:shd w:fill="F3F6F8"/>
          </w:tcPr>
          <w:p>
            <w:pPr>
              <w:spacing w:after="0"/>
            </w:pPr>
            <w:r/>
            <w:r>
              <w:rPr>
                <w:rFonts w:ascii="Aptos" w:hAnsi="Aptos"/>
                <w:b w:val="0"/>
                <w:sz w:val="17"/>
              </w:rPr>
              <w:t>FastAPI backend</w:t>
            </w:r>
          </w:p>
        </w:tc>
        <w:tc>
          <w:tcPr>
            <w:tcW w:type="dxa" w:w="3515"/>
            <w:vAlign w:val="center"/>
          </w:tcPr>
          <w:p>
            <w:pPr>
              <w:spacing w:after="0"/>
            </w:pPr>
            <w:r/>
            <w:r>
              <w:rPr>
                <w:rFonts w:ascii="Aptos" w:hAnsi="Aptos"/>
                <w:b w:val="0"/>
                <w:sz w:val="17"/>
              </w:rPr>
              <w:t>Validation, authorization, orchestration, generation, versioning, audit and exports.</w:t>
            </w:r>
          </w:p>
        </w:tc>
        <w:tc>
          <w:tcPr>
            <w:tcW w:type="dxa" w:w="2438"/>
            <w:vAlign w:val="center"/>
          </w:tcPr>
          <w:p>
            <w:pPr>
              <w:spacing w:after="0"/>
            </w:pPr>
            <w:r/>
            <w:r>
              <w:rPr>
                <w:rFonts w:ascii="Aptos" w:hAnsi="Aptos"/>
                <w:b w:val="0"/>
                <w:sz w:val="17"/>
              </w:rPr>
              <w:t>Requests, deal data, sources, model responses.</w:t>
            </w:r>
          </w:p>
        </w:tc>
        <w:tc>
          <w:tcPr>
            <w:tcW w:type="dxa" w:w="2438"/>
            <w:vAlign w:val="center"/>
          </w:tcPr>
          <w:p>
            <w:pPr>
              <w:spacing w:after="0"/>
            </w:pPr>
            <w:r/>
            <w:r>
              <w:rPr>
                <w:rFonts w:ascii="Aptos" w:hAnsi="Aptos"/>
                <w:b w:val="0"/>
                <w:sz w:val="17"/>
              </w:rPr>
              <w:t>Narratives, versions, exports, logs.</w:t>
            </w:r>
          </w:p>
        </w:tc>
      </w:tr>
      <w:tr>
        <w:tc>
          <w:tcPr>
            <w:tcW w:type="dxa" w:w="1814"/>
            <w:vAlign w:val="center"/>
            <w:shd w:fill="F3F6F8"/>
          </w:tcPr>
          <w:p>
            <w:pPr>
              <w:spacing w:after="0"/>
            </w:pPr>
            <w:r/>
            <w:r>
              <w:rPr>
                <w:rFonts w:ascii="Aptos" w:hAnsi="Aptos"/>
                <w:b w:val="0"/>
                <w:sz w:val="17"/>
              </w:rPr>
              <w:t>MCP service</w:t>
            </w:r>
          </w:p>
        </w:tc>
        <w:tc>
          <w:tcPr>
            <w:tcW w:type="dxa" w:w="3515"/>
            <w:vAlign w:val="center"/>
          </w:tcPr>
          <w:p>
            <w:pPr>
              <w:spacing w:after="0"/>
            </w:pPr>
            <w:r/>
            <w:r>
              <w:rPr>
                <w:rFonts w:ascii="Aptos" w:hAnsi="Aptos"/>
                <w:b w:val="0"/>
                <w:sz w:val="17"/>
              </w:rPr>
              <w:t>Owner-scoped company discovery and 16 structured credit datasets.</w:t>
            </w:r>
          </w:p>
        </w:tc>
        <w:tc>
          <w:tcPr>
            <w:tcW w:type="dxa" w:w="2438"/>
            <w:vAlign w:val="center"/>
          </w:tcPr>
          <w:p>
            <w:pPr>
              <w:spacing w:after="0"/>
            </w:pPr>
            <w:r/>
            <w:r>
              <w:rPr>
                <w:rFonts w:ascii="Aptos" w:hAnsi="Aptos"/>
                <w:b w:val="0"/>
                <w:sz w:val="17"/>
              </w:rPr>
              <w:t>User/company identifiers; query parameters.</w:t>
            </w:r>
          </w:p>
        </w:tc>
        <w:tc>
          <w:tcPr>
            <w:tcW w:type="dxa" w:w="2438"/>
            <w:vAlign w:val="center"/>
          </w:tcPr>
          <w:p>
            <w:pPr>
              <w:spacing w:after="0"/>
            </w:pPr>
            <w:r/>
            <w:r>
              <w:rPr>
                <w:rFonts w:ascii="Aptos" w:hAnsi="Aptos"/>
                <w:b w:val="0"/>
                <w:sz w:val="17"/>
              </w:rPr>
              <w:t>Company documents, summaries and rows.</w:t>
            </w:r>
          </w:p>
        </w:tc>
      </w:tr>
      <w:tr>
        <w:tc>
          <w:tcPr>
            <w:tcW w:type="dxa" w:w="1814"/>
            <w:vAlign w:val="center"/>
            <w:shd w:fill="F3F6F8"/>
          </w:tcPr>
          <w:p>
            <w:pPr>
              <w:spacing w:after="0"/>
            </w:pPr>
            <w:r/>
            <w:r>
              <w:rPr>
                <w:rFonts w:ascii="Aptos" w:hAnsi="Aptos"/>
                <w:b w:val="0"/>
                <w:sz w:val="17"/>
              </w:rPr>
              <w:t>Mistral services</w:t>
            </w:r>
          </w:p>
        </w:tc>
        <w:tc>
          <w:tcPr>
            <w:tcW w:type="dxa" w:w="3515"/>
            <w:vAlign w:val="center"/>
          </w:tcPr>
          <w:p>
            <w:pPr>
              <w:spacing w:after="0"/>
            </w:pPr>
            <w:r/>
            <w:r>
              <w:rPr>
                <w:rFonts w:ascii="Aptos" w:hAnsi="Aptos"/>
                <w:b w:val="0"/>
                <w:sz w:val="17"/>
              </w:rPr>
              <w:t>Retrieval, model inference, OCR, moderation, evaluation and telemetry.</w:t>
            </w:r>
          </w:p>
        </w:tc>
        <w:tc>
          <w:tcPr>
            <w:tcW w:type="dxa" w:w="2438"/>
            <w:vAlign w:val="center"/>
          </w:tcPr>
          <w:p>
            <w:pPr>
              <w:spacing w:after="0"/>
            </w:pPr>
            <w:r/>
            <w:r>
              <w:rPr>
                <w:rFonts w:ascii="Aptos" w:hAnsi="Aptos"/>
                <w:b w:val="0"/>
                <w:sz w:val="17"/>
              </w:rPr>
              <w:t>Documents, prompts and selected context.</w:t>
            </w:r>
          </w:p>
        </w:tc>
        <w:tc>
          <w:tcPr>
            <w:tcW w:type="dxa" w:w="2438"/>
            <w:vAlign w:val="center"/>
          </w:tcPr>
          <w:p>
            <w:pPr>
              <w:spacing w:after="0"/>
            </w:pPr>
            <w:r/>
            <w:r>
              <w:rPr>
                <w:rFonts w:ascii="Aptos" w:hAnsi="Aptos"/>
                <w:b w:val="0"/>
                <w:sz w:val="17"/>
              </w:rPr>
              <w:t>Retrieved evidence, model outputs and metrics.</w:t>
            </w:r>
          </w:p>
        </w:tc>
      </w:tr>
      <w:tr>
        <w:tc>
          <w:tcPr>
            <w:tcW w:type="dxa" w:w="1814"/>
            <w:vAlign w:val="center"/>
            <w:shd w:fill="F3F6F8"/>
          </w:tcPr>
          <w:p>
            <w:pPr>
              <w:spacing w:after="0"/>
            </w:pPr>
            <w:r/>
            <w:r>
              <w:rPr>
                <w:rFonts w:ascii="Aptos" w:hAnsi="Aptos"/>
                <w:b w:val="0"/>
                <w:sz w:val="17"/>
              </w:rPr>
              <w:t>Application DB</w:t>
            </w:r>
          </w:p>
        </w:tc>
        <w:tc>
          <w:tcPr>
            <w:tcW w:type="dxa" w:w="3515"/>
            <w:vAlign w:val="center"/>
          </w:tcPr>
          <w:p>
            <w:pPr>
              <w:spacing w:after="0"/>
            </w:pPr>
            <w:r/>
            <w:r>
              <w:rPr>
                <w:rFonts w:ascii="Aptos" w:hAnsi="Aptos"/>
                <w:b w:val="0"/>
                <w:sz w:val="17"/>
              </w:rPr>
              <w:t>Users/sessions, deals, sections, audit, history, review snapshots and library metadata.</w:t>
            </w:r>
          </w:p>
        </w:tc>
        <w:tc>
          <w:tcPr>
            <w:tcW w:type="dxa" w:w="2438"/>
            <w:vAlign w:val="center"/>
          </w:tcPr>
          <w:p>
            <w:pPr>
              <w:spacing w:after="0"/>
            </w:pPr>
            <w:r/>
            <w:r>
              <w:rPr>
                <w:rFonts w:ascii="Aptos" w:hAnsi="Aptos"/>
                <w:b w:val="0"/>
                <w:sz w:val="17"/>
              </w:rPr>
              <w:t>Transactional application records.</w:t>
            </w:r>
          </w:p>
        </w:tc>
        <w:tc>
          <w:tcPr>
            <w:tcW w:type="dxa" w:w="2438"/>
            <w:vAlign w:val="center"/>
          </w:tcPr>
          <w:p>
            <w:pPr>
              <w:spacing w:after="0"/>
            </w:pPr>
            <w:r/>
            <w:r>
              <w:rPr>
                <w:rFonts w:ascii="Aptos" w:hAnsi="Aptos"/>
                <w:b w:val="0"/>
                <w:sz w:val="17"/>
              </w:rPr>
              <w:t>Persistent state and audit evidence.</w:t>
            </w:r>
          </w:p>
        </w:tc>
      </w:tr>
      <w:tr>
        <w:tc>
          <w:tcPr>
            <w:tcW w:type="dxa" w:w="1814"/>
            <w:vAlign w:val="center"/>
            <w:shd w:fill="F3F6F8"/>
          </w:tcPr>
          <w:p>
            <w:pPr>
              <w:spacing w:after="0"/>
            </w:pPr>
            <w:r/>
            <w:r>
              <w:rPr>
                <w:rFonts w:ascii="Aptos" w:hAnsi="Aptos"/>
                <w:b w:val="0"/>
                <w:sz w:val="17"/>
              </w:rPr>
              <w:t>MCP DB</w:t>
            </w:r>
          </w:p>
        </w:tc>
        <w:tc>
          <w:tcPr>
            <w:tcW w:type="dxa" w:w="3515"/>
            <w:vAlign w:val="center"/>
          </w:tcPr>
          <w:p>
            <w:pPr>
              <w:spacing w:after="0"/>
            </w:pPr>
            <w:r/>
            <w:r>
              <w:rPr>
                <w:rFonts w:ascii="Aptos" w:hAnsi="Aptos"/>
                <w:b w:val="0"/>
                <w:sz w:val="17"/>
              </w:rPr>
              <w:t>Structured company credit data.</w:t>
            </w:r>
          </w:p>
        </w:tc>
        <w:tc>
          <w:tcPr>
            <w:tcW w:type="dxa" w:w="2438"/>
            <w:vAlign w:val="center"/>
          </w:tcPr>
          <w:p>
            <w:pPr>
              <w:spacing w:after="0"/>
            </w:pPr>
            <w:r/>
            <w:r>
              <w:rPr>
                <w:rFonts w:ascii="Aptos" w:hAnsi="Aptos"/>
                <w:b w:val="0"/>
                <w:sz w:val="17"/>
              </w:rPr>
              <w:t>Manufactured/loaded company datasets.</w:t>
            </w:r>
          </w:p>
        </w:tc>
        <w:tc>
          <w:tcPr>
            <w:tcW w:type="dxa" w:w="2438"/>
            <w:vAlign w:val="center"/>
          </w:tcPr>
          <w:p>
            <w:pPr>
              <w:spacing w:after="0"/>
            </w:pPr>
            <w:r/>
            <w:r>
              <w:rPr>
                <w:rFonts w:ascii="Aptos" w:hAnsi="Aptos"/>
                <w:b w:val="0"/>
                <w:sz w:val="17"/>
              </w:rPr>
              <w:t>Owner-scoped structured context.</w:t>
            </w:r>
          </w:p>
        </w:tc>
      </w:tr>
    </w:tbl>
    <w:p>
      <w:pPr>
        <w:spacing w:after="0"/>
      </w:pPr>
    </w:p>
    <w:p>
      <w:pPr>
        <w:pStyle w:val="Heading2"/>
      </w:pPr>
      <w:r>
        <w:t>4.2 Computational resources</w:t>
      </w:r>
    </w:p>
    <w:tbl>
      <w:tblPr>
        <w:tblStyle w:val="TableGrid"/>
        <w:tblW w:type="auto" w:w="0"/>
        <w:jc w:val="center"/>
        <w:tblLook w:firstColumn="1" w:firstRow="1" w:lastColumn="0" w:lastRow="0" w:noHBand="0" w:noVBand="1" w:val="04A0"/>
      </w:tblPr>
      <w:tblGrid>
        <w:gridCol w:w="3343"/>
        <w:gridCol w:w="3343"/>
        <w:gridCol w:w="3343"/>
      </w:tblGrid>
      <w:tr>
        <w:tc>
          <w:tcPr>
            <w:tcW w:type="dxa" w:w="1701"/>
            <w:vAlign w:val="center"/>
            <w:shd w:fill="17365D"/>
          </w:tcPr>
          <w:p>
            <w:pPr>
              <w:spacing w:after="0"/>
            </w:pPr>
            <w:r/>
            <w:r>
              <w:rPr>
                <w:rFonts w:ascii="Aptos" w:hAnsi="Aptos"/>
                <w:b/>
                <w:color w:val="FFFFFF"/>
                <w:sz w:val="17"/>
              </w:rPr>
              <w:t>Lifecycle phase</w:t>
            </w:r>
          </w:p>
        </w:tc>
        <w:tc>
          <w:tcPr>
            <w:tcW w:type="dxa" w:w="4535"/>
            <w:vAlign w:val="center"/>
            <w:shd w:fill="17365D"/>
          </w:tcPr>
          <w:p>
            <w:pPr>
              <w:spacing w:after="0"/>
            </w:pPr>
            <w:r/>
            <w:r>
              <w:rPr>
                <w:rFonts w:ascii="Aptos" w:hAnsi="Aptos"/>
                <w:b/>
                <w:color w:val="FFFFFF"/>
                <w:sz w:val="17"/>
              </w:rPr>
              <w:t>Known resources</w:t>
            </w:r>
          </w:p>
        </w:tc>
        <w:tc>
          <w:tcPr>
            <w:tcW w:type="dxa" w:w="3969"/>
            <w:vAlign w:val="center"/>
            <w:shd w:fill="17365D"/>
          </w:tcPr>
          <w:p>
            <w:pPr>
              <w:spacing w:after="0"/>
            </w:pPr>
            <w:r/>
            <w:r>
              <w:rPr>
                <w:rFonts w:ascii="Aptos" w:hAnsi="Aptos"/>
                <w:b/>
                <w:color w:val="FFFFFF"/>
                <w:sz w:val="17"/>
              </w:rPr>
              <w:t>Evidence gap</w:t>
            </w:r>
          </w:p>
        </w:tc>
      </w:tr>
      <w:tr>
        <w:tc>
          <w:tcPr>
            <w:tcW w:type="dxa" w:w="1701"/>
            <w:vAlign w:val="center"/>
            <w:shd w:fill="F3F6F8"/>
          </w:tcPr>
          <w:p>
            <w:pPr>
              <w:spacing w:after="0"/>
            </w:pPr>
            <w:r/>
            <w:r>
              <w:rPr>
                <w:rFonts w:ascii="Aptos" w:hAnsi="Aptos"/>
                <w:b w:val="0"/>
                <w:sz w:val="17"/>
              </w:rPr>
              <w:t>Development</w:t>
            </w:r>
          </w:p>
        </w:tc>
        <w:tc>
          <w:tcPr>
            <w:tcW w:type="dxa" w:w="4535"/>
            <w:vAlign w:val="center"/>
          </w:tcPr>
          <w:p>
            <w:pPr>
              <w:spacing w:after="0"/>
            </w:pPr>
            <w:r/>
            <w:r>
              <w:rPr>
                <w:rFonts w:ascii="Aptos" w:hAnsi="Aptos"/>
                <w:b w:val="0"/>
                <w:sz w:val="17"/>
              </w:rPr>
              <w:t>Developer workstation(s); Python/Node toolchain; external Mistral service; local PostgreSQL databases.</w:t>
            </w:r>
          </w:p>
        </w:tc>
        <w:tc>
          <w:tcPr>
            <w:tcW w:type="dxa" w:w="3969"/>
            <w:vAlign w:val="center"/>
          </w:tcPr>
          <w:p>
            <w:pPr>
              <w:spacing w:after="0"/>
            </w:pPr>
            <w:r/>
            <w:r>
              <w:rPr>
                <w:rFonts w:ascii="Aptos" w:hAnsi="Aptos"/>
                <w:b w:val="0"/>
                <w:sz w:val="17"/>
              </w:rPr>
              <w:t>Machine specifications, access records, environment inventory and energy/resource measurements TBC.</w:t>
            </w:r>
          </w:p>
        </w:tc>
      </w:tr>
      <w:tr>
        <w:tc>
          <w:tcPr>
            <w:tcW w:type="dxa" w:w="1701"/>
            <w:vAlign w:val="center"/>
            <w:shd w:fill="F3F6F8"/>
          </w:tcPr>
          <w:p>
            <w:pPr>
              <w:spacing w:after="0"/>
            </w:pPr>
            <w:r/>
            <w:r>
              <w:rPr>
                <w:rFonts w:ascii="Aptos" w:hAnsi="Aptos"/>
                <w:b w:val="0"/>
                <w:sz w:val="17"/>
              </w:rPr>
              <w:t>Training</w:t>
            </w:r>
          </w:p>
        </w:tc>
        <w:tc>
          <w:tcPr>
            <w:tcW w:type="dxa" w:w="4535"/>
            <w:vAlign w:val="center"/>
          </w:tcPr>
          <w:p>
            <w:pPr>
              <w:spacing w:after="0"/>
            </w:pPr>
            <w:r/>
            <w:r>
              <w:rPr>
                <w:rFonts w:ascii="Aptos" w:hAnsi="Aptos"/>
                <w:b w:val="0"/>
                <w:sz w:val="17"/>
              </w:rPr>
              <w:t>No foundation-model training or fine-tuning is present in the repository; synthetic data manufacturing may use AI generation with deterministic fallback.</w:t>
            </w:r>
          </w:p>
        </w:tc>
        <w:tc>
          <w:tcPr>
            <w:tcW w:type="dxa" w:w="3969"/>
            <w:vAlign w:val="center"/>
          </w:tcPr>
          <w:p>
            <w:pPr>
              <w:spacing w:after="0"/>
            </w:pPr>
            <w:r/>
            <w:r>
              <w:rPr>
                <w:rFonts w:ascii="Aptos" w:hAnsi="Aptos"/>
                <w:b w:val="0"/>
                <w:sz w:val="17"/>
              </w:rPr>
              <w:t>Supplier training disclosures and any customer-specific tuning confirmation TBC.</w:t>
            </w:r>
          </w:p>
        </w:tc>
      </w:tr>
      <w:tr>
        <w:tc>
          <w:tcPr>
            <w:tcW w:type="dxa" w:w="1701"/>
            <w:vAlign w:val="center"/>
            <w:shd w:fill="F3F6F8"/>
          </w:tcPr>
          <w:p>
            <w:pPr>
              <w:spacing w:after="0"/>
            </w:pPr>
            <w:r/>
            <w:r>
              <w:rPr>
                <w:rFonts w:ascii="Aptos" w:hAnsi="Aptos"/>
                <w:b w:val="0"/>
                <w:sz w:val="17"/>
              </w:rPr>
              <w:t>Testing/validation</w:t>
            </w:r>
          </w:p>
        </w:tc>
        <w:tc>
          <w:tcPr>
            <w:tcW w:type="dxa" w:w="4535"/>
            <w:vAlign w:val="center"/>
          </w:tcPr>
          <w:p>
            <w:pPr>
              <w:spacing w:after="0"/>
            </w:pPr>
            <w:r/>
            <w:r>
              <w:rPr>
                <w:rFonts w:ascii="Aptos" w:hAnsi="Aptos"/>
                <w:b w:val="0"/>
                <w:sz w:val="17"/>
              </w:rPr>
              <w:t>Frontend build/lint instructions and repository verification matrix exist.</w:t>
            </w:r>
          </w:p>
        </w:tc>
        <w:tc>
          <w:tcPr>
            <w:tcW w:type="dxa" w:w="3969"/>
            <w:vAlign w:val="center"/>
          </w:tcPr>
          <w:p>
            <w:pPr>
              <w:spacing w:after="0"/>
            </w:pPr>
            <w:r/>
            <w:r>
              <w:rPr>
                <w:rFonts w:ascii="Aptos" w:hAnsi="Aptos"/>
                <w:b w:val="0"/>
                <w:sz w:val="17"/>
              </w:rPr>
              <w:t>Executed test reports, environments, seeds, datasets, pass/fail evidence and signed approvals TBC.</w:t>
            </w:r>
          </w:p>
        </w:tc>
      </w:tr>
      <w:tr>
        <w:tc>
          <w:tcPr>
            <w:tcW w:type="dxa" w:w="1701"/>
            <w:vAlign w:val="center"/>
            <w:shd w:fill="F3F6F8"/>
          </w:tcPr>
          <w:p>
            <w:pPr>
              <w:spacing w:after="0"/>
            </w:pPr>
            <w:r/>
            <w:r>
              <w:rPr>
                <w:rFonts w:ascii="Aptos" w:hAnsi="Aptos"/>
                <w:b w:val="0"/>
                <w:sz w:val="17"/>
              </w:rPr>
              <w:t>Production inference</w:t>
            </w:r>
          </w:p>
        </w:tc>
        <w:tc>
          <w:tcPr>
            <w:tcW w:type="dxa" w:w="4535"/>
            <w:vAlign w:val="center"/>
          </w:tcPr>
          <w:p>
            <w:pPr>
              <w:spacing w:after="0"/>
            </w:pPr>
            <w:r/>
            <w:r>
              <w:rPr>
                <w:rFonts w:ascii="Aptos" w:hAnsi="Aptos"/>
                <w:b w:val="0"/>
                <w:sz w:val="17"/>
              </w:rPr>
              <w:t>Mistral-hosted inference plus application/MCP/database hosts.</w:t>
            </w:r>
          </w:p>
        </w:tc>
        <w:tc>
          <w:tcPr>
            <w:tcW w:type="dxa" w:w="3969"/>
            <w:vAlign w:val="center"/>
          </w:tcPr>
          <w:p>
            <w:pPr>
              <w:spacing w:after="0"/>
            </w:pPr>
            <w:r/>
            <w:r>
              <w:rPr>
                <w:rFonts w:ascii="Aptos" w:hAnsi="Aptos"/>
                <w:b w:val="0"/>
                <w:sz w:val="17"/>
              </w:rPr>
              <w:t>Sizing, regions, availability targets, scaling, failover and operational runbooks TBC.</w:t>
            </w:r>
          </w:p>
        </w:tc>
      </w:tr>
    </w:tbl>
    <w:p>
      <w:pPr>
        <w:spacing w:after="0"/>
      </w:pPr>
    </w:p>
    <w:p>
      <w:pPr>
        <w:pStyle w:val="Heading1"/>
      </w:pPr>
      <w:r>
        <w:t>5. Data requirements and governance</w:t>
      </w:r>
    </w:p>
    <w:p>
      <w:pPr>
        <w:pStyle w:val="Heading2"/>
      </w:pPr>
      <w:r>
        <w:t>5.1 Data categories and provenance</w:t>
      </w: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1701"/>
            <w:vAlign w:val="center"/>
            <w:shd w:fill="17365D"/>
          </w:tcPr>
          <w:p>
            <w:pPr>
              <w:spacing w:after="0"/>
            </w:pPr>
            <w:r/>
            <w:r>
              <w:rPr>
                <w:rFonts w:ascii="Aptos" w:hAnsi="Aptos"/>
                <w:b/>
                <w:color w:val="FFFFFF"/>
                <w:sz w:val="17"/>
              </w:rPr>
              <w:t>Data category</w:t>
            </w:r>
          </w:p>
        </w:tc>
        <w:tc>
          <w:tcPr>
            <w:tcW w:type="dxa" w:w="2494"/>
            <w:vAlign w:val="center"/>
            <w:shd w:fill="17365D"/>
          </w:tcPr>
          <w:p>
            <w:pPr>
              <w:spacing w:after="0"/>
            </w:pPr>
            <w:r/>
            <w:r>
              <w:rPr>
                <w:rFonts w:ascii="Aptos" w:hAnsi="Aptos"/>
                <w:b/>
                <w:color w:val="FFFFFF"/>
                <w:sz w:val="17"/>
              </w:rPr>
              <w:t>Source / selection</w:t>
            </w:r>
          </w:p>
        </w:tc>
        <w:tc>
          <w:tcPr>
            <w:tcW w:type="dxa" w:w="2948"/>
            <w:vAlign w:val="center"/>
            <w:shd w:fill="17365D"/>
          </w:tcPr>
          <w:p>
            <w:pPr>
              <w:spacing w:after="0"/>
            </w:pPr>
            <w:r/>
            <w:r>
              <w:rPr>
                <w:rFonts w:ascii="Aptos" w:hAnsi="Aptos"/>
                <w:b/>
                <w:color w:val="FFFFFF"/>
                <w:sz w:val="17"/>
              </w:rPr>
              <w:t>Processing</w:t>
            </w:r>
          </w:p>
        </w:tc>
        <w:tc>
          <w:tcPr>
            <w:tcW w:type="dxa" w:w="3061"/>
            <w:vAlign w:val="center"/>
            <w:shd w:fill="17365D"/>
          </w:tcPr>
          <w:p>
            <w:pPr>
              <w:spacing w:after="0"/>
            </w:pPr>
            <w:r/>
            <w:r>
              <w:rPr>
                <w:rFonts w:ascii="Aptos" w:hAnsi="Aptos"/>
                <w:b/>
                <w:color w:val="FFFFFF"/>
                <w:sz w:val="17"/>
              </w:rPr>
              <w:t>Current control / gap</w:t>
            </w:r>
          </w:p>
        </w:tc>
      </w:tr>
      <w:tr>
        <w:tc>
          <w:tcPr>
            <w:tcW w:type="dxa" w:w="1701"/>
            <w:vAlign w:val="center"/>
            <w:shd w:fill="F3F6F8"/>
          </w:tcPr>
          <w:p>
            <w:pPr>
              <w:spacing w:after="0"/>
            </w:pPr>
            <w:r/>
            <w:r>
              <w:rPr>
                <w:rFonts w:ascii="Aptos" w:hAnsi="Aptos"/>
                <w:b w:val="0"/>
                <w:sz w:val="17"/>
              </w:rPr>
              <w:t>Deal metadata</w:t>
            </w:r>
          </w:p>
        </w:tc>
        <w:tc>
          <w:tcPr>
            <w:tcW w:type="dxa" w:w="2494"/>
            <w:vAlign w:val="center"/>
          </w:tcPr>
          <w:p>
            <w:pPr>
              <w:spacing w:after="0"/>
            </w:pPr>
            <w:r/>
            <w:r>
              <w:rPr>
                <w:rFonts w:ascii="Aptos" w:hAnsi="Aptos"/>
                <w:b w:val="0"/>
                <w:sz w:val="17"/>
              </w:rPr>
              <w:t>Entered by authorized users; may be prefilled from MCP company data.</w:t>
            </w:r>
          </w:p>
        </w:tc>
        <w:tc>
          <w:tcPr>
            <w:tcW w:type="dxa" w:w="2948"/>
            <w:vAlign w:val="center"/>
          </w:tcPr>
          <w:p>
            <w:pPr>
              <w:spacing w:after="0"/>
            </w:pPr>
            <w:r/>
            <w:r>
              <w:rPr>
                <w:rFonts w:ascii="Aptos" w:hAnsi="Aptos"/>
                <w:b w:val="0"/>
                <w:sz w:val="17"/>
              </w:rPr>
              <w:t>Validation and section-specific context selection.</w:t>
            </w:r>
          </w:p>
        </w:tc>
        <w:tc>
          <w:tcPr>
            <w:tcW w:type="dxa" w:w="3061"/>
            <w:vAlign w:val="center"/>
          </w:tcPr>
          <w:p>
            <w:pPr>
              <w:spacing w:after="0"/>
            </w:pPr>
            <w:r/>
            <w:r>
              <w:rPr>
                <w:rFonts w:ascii="Aptos" w:hAnsi="Aptos"/>
                <w:b w:val="0"/>
                <w:sz w:val="17"/>
              </w:rPr>
              <w:t>Schema validation exists; data dictionary and mandatory-quality rules TBC.</w:t>
            </w:r>
          </w:p>
        </w:tc>
      </w:tr>
      <w:tr>
        <w:tc>
          <w:tcPr>
            <w:tcW w:type="dxa" w:w="1701"/>
            <w:vAlign w:val="center"/>
            <w:shd w:fill="F3F6F8"/>
          </w:tcPr>
          <w:p>
            <w:pPr>
              <w:spacing w:after="0"/>
            </w:pPr>
            <w:r/>
            <w:r>
              <w:rPr>
                <w:rFonts w:ascii="Aptos" w:hAnsi="Aptos"/>
                <w:b w:val="0"/>
                <w:sz w:val="17"/>
              </w:rPr>
              <w:t>Company documents</w:t>
            </w:r>
          </w:p>
        </w:tc>
        <w:tc>
          <w:tcPr>
            <w:tcW w:type="dxa" w:w="2494"/>
            <w:vAlign w:val="center"/>
          </w:tcPr>
          <w:p>
            <w:pPr>
              <w:spacing w:after="0"/>
            </w:pPr>
            <w:r/>
            <w:r>
              <w:rPr>
                <w:rFonts w:ascii="Aptos" w:hAnsi="Aptos"/>
                <w:b w:val="0"/>
                <w:sz w:val="17"/>
              </w:rPr>
              <w:t>Shared owner/company Mistral library; manufactured demo pack may contain 17 synthetic PDFs.</w:t>
            </w:r>
          </w:p>
        </w:tc>
        <w:tc>
          <w:tcPr>
            <w:tcW w:type="dxa" w:w="2948"/>
            <w:vAlign w:val="center"/>
          </w:tcPr>
          <w:p>
            <w:pPr>
              <w:spacing w:after="0"/>
            </w:pPr>
            <w:r/>
            <w:r>
              <w:rPr>
                <w:rFonts w:ascii="Aptos" w:hAnsi="Aptos"/>
                <w:b w:val="0"/>
                <w:sz w:val="17"/>
              </w:rPr>
              <w:t>OCR/index/retrieval and summarization.</w:t>
            </w:r>
          </w:p>
        </w:tc>
        <w:tc>
          <w:tcPr>
            <w:tcW w:type="dxa" w:w="3061"/>
            <w:vAlign w:val="center"/>
          </w:tcPr>
          <w:p>
            <w:pPr>
              <w:spacing w:after="0"/>
            </w:pPr>
            <w:r/>
            <w:r>
              <w:rPr>
                <w:rFonts w:ascii="Aptos" w:hAnsi="Aptos"/>
                <w:b w:val="0"/>
                <w:sz w:val="17"/>
              </w:rPr>
              <w:t>Owner scoping documented; source authorization and production provenance TBC.</w:t>
            </w:r>
          </w:p>
        </w:tc>
      </w:tr>
      <w:tr>
        <w:tc>
          <w:tcPr>
            <w:tcW w:type="dxa" w:w="1701"/>
            <w:vAlign w:val="center"/>
            <w:shd w:fill="F3F6F8"/>
          </w:tcPr>
          <w:p>
            <w:pPr>
              <w:spacing w:after="0"/>
            </w:pPr>
            <w:r/>
            <w:r>
              <w:rPr>
                <w:rFonts w:ascii="Aptos" w:hAnsi="Aptos"/>
                <w:b w:val="0"/>
                <w:sz w:val="17"/>
              </w:rPr>
              <w:t>Deal documents</w:t>
            </w:r>
          </w:p>
        </w:tc>
        <w:tc>
          <w:tcPr>
            <w:tcW w:type="dxa" w:w="2494"/>
            <w:vAlign w:val="center"/>
          </w:tcPr>
          <w:p>
            <w:pPr>
              <w:spacing w:after="0"/>
            </w:pPr>
            <w:r/>
            <w:r>
              <w:rPr>
                <w:rFonts w:ascii="Aptos" w:hAnsi="Aptos"/>
                <w:b w:val="0"/>
                <w:sz w:val="17"/>
              </w:rPr>
              <w:t>User-uploaded to deal-specific library; allowlisted file formats and signature/content checks.</w:t>
            </w:r>
          </w:p>
        </w:tc>
        <w:tc>
          <w:tcPr>
            <w:tcW w:type="dxa" w:w="2948"/>
            <w:vAlign w:val="center"/>
          </w:tcPr>
          <w:p>
            <w:pPr>
              <w:spacing w:after="0"/>
            </w:pPr>
            <w:r/>
            <w:r>
              <w:rPr>
                <w:rFonts w:ascii="Aptos" w:hAnsi="Aptos"/>
                <w:b w:val="0"/>
                <w:sz w:val="17"/>
              </w:rPr>
              <w:t>OCR/index/retrieval; metadata and sync logs persisted.</w:t>
            </w:r>
          </w:p>
        </w:tc>
        <w:tc>
          <w:tcPr>
            <w:tcW w:type="dxa" w:w="3061"/>
            <w:vAlign w:val="center"/>
          </w:tcPr>
          <w:p>
            <w:pPr>
              <w:spacing w:after="0"/>
            </w:pPr>
            <w:r/>
            <w:r>
              <w:rPr>
                <w:rFonts w:ascii="Aptos" w:hAnsi="Aptos"/>
                <w:b w:val="0"/>
                <w:sz w:val="17"/>
              </w:rPr>
              <w:t>Retention, malware scanning, copyright and personal-data rules TBC.</w:t>
            </w:r>
          </w:p>
        </w:tc>
      </w:tr>
      <w:tr>
        <w:tc>
          <w:tcPr>
            <w:tcW w:type="dxa" w:w="1701"/>
            <w:vAlign w:val="center"/>
            <w:shd w:fill="F3F6F8"/>
          </w:tcPr>
          <w:p>
            <w:pPr>
              <w:spacing w:after="0"/>
            </w:pPr>
            <w:r/>
            <w:r>
              <w:rPr>
                <w:rFonts w:ascii="Aptos" w:hAnsi="Aptos"/>
                <w:b w:val="0"/>
                <w:sz w:val="17"/>
              </w:rPr>
              <w:t>Structured credit data</w:t>
            </w:r>
          </w:p>
        </w:tc>
        <w:tc>
          <w:tcPr>
            <w:tcW w:type="dxa" w:w="2494"/>
            <w:vAlign w:val="center"/>
          </w:tcPr>
          <w:p>
            <w:pPr>
              <w:spacing w:after="0"/>
            </w:pPr>
            <w:r/>
            <w:r>
              <w:rPr>
                <w:rFonts w:ascii="Aptos" w:hAnsi="Aptos"/>
                <w:b w:val="0"/>
                <w:sz w:val="17"/>
              </w:rPr>
              <w:t>Sixteen named MCP PostgreSQL datasets, owner/company scoped; synthetic manufacturer supports demos.</w:t>
            </w:r>
          </w:p>
        </w:tc>
        <w:tc>
          <w:tcPr>
            <w:tcW w:type="dxa" w:w="2948"/>
            <w:vAlign w:val="center"/>
          </w:tcPr>
          <w:p>
            <w:pPr>
              <w:spacing w:after="0"/>
            </w:pPr>
            <w:r/>
            <w:r>
              <w:rPr>
                <w:rFonts w:ascii="Aptos" w:hAnsi="Aptos"/>
                <w:b w:val="0"/>
                <w:sz w:val="17"/>
              </w:rPr>
              <w:t>Section-specific table selection and prompt context.</w:t>
            </w:r>
          </w:p>
        </w:tc>
        <w:tc>
          <w:tcPr>
            <w:tcW w:type="dxa" w:w="3061"/>
            <w:vAlign w:val="center"/>
          </w:tcPr>
          <w:p>
            <w:pPr>
              <w:spacing w:after="0"/>
            </w:pPr>
            <w:r/>
            <w:r>
              <w:rPr>
                <w:rFonts w:ascii="Aptos" w:hAnsi="Aptos"/>
                <w:b w:val="0"/>
                <w:sz w:val="17"/>
              </w:rPr>
              <w:t>Data lineage, reconciliation, freshness and production source controls TBC.</w:t>
            </w:r>
          </w:p>
        </w:tc>
      </w:tr>
      <w:tr>
        <w:tc>
          <w:tcPr>
            <w:tcW w:type="dxa" w:w="1701"/>
            <w:vAlign w:val="center"/>
            <w:shd w:fill="F3F6F8"/>
          </w:tcPr>
          <w:p>
            <w:pPr>
              <w:spacing w:after="0"/>
            </w:pPr>
            <w:r/>
            <w:r>
              <w:rPr>
                <w:rFonts w:ascii="Aptos" w:hAnsi="Aptos"/>
                <w:b w:val="0"/>
                <w:sz w:val="17"/>
              </w:rPr>
              <w:t>Public URLs</w:t>
            </w:r>
          </w:p>
        </w:tc>
        <w:tc>
          <w:tcPr>
            <w:tcW w:type="dxa" w:w="2494"/>
            <w:vAlign w:val="center"/>
          </w:tcPr>
          <w:p>
            <w:pPr>
              <w:spacing w:after="0"/>
            </w:pPr>
            <w:r/>
            <w:r>
              <w:rPr>
                <w:rFonts w:ascii="Aptos" w:hAnsi="Aptos"/>
                <w:b w:val="0"/>
                <w:sz w:val="17"/>
              </w:rPr>
              <w:t>Up to ten URLs per section supplied/approved by a user.</w:t>
            </w:r>
          </w:p>
        </w:tc>
        <w:tc>
          <w:tcPr>
            <w:tcW w:type="dxa" w:w="2948"/>
            <w:vAlign w:val="center"/>
          </w:tcPr>
          <w:p>
            <w:pPr>
              <w:spacing w:after="0"/>
            </w:pPr>
            <w:r/>
            <w:r>
              <w:rPr>
                <w:rFonts w:ascii="Aptos" w:hAnsi="Aptos"/>
                <w:b w:val="0"/>
                <w:sz w:val="17"/>
              </w:rPr>
              <w:t>Validated retrieval, extraction and scrape-result recording.</w:t>
            </w:r>
          </w:p>
        </w:tc>
        <w:tc>
          <w:tcPr>
            <w:tcW w:type="dxa" w:w="3061"/>
            <w:vAlign w:val="center"/>
          </w:tcPr>
          <w:p>
            <w:pPr>
              <w:spacing w:after="0"/>
            </w:pPr>
            <w:r/>
            <w:r>
              <w:rPr>
                <w:rFonts w:ascii="Aptos" w:hAnsi="Aptos"/>
                <w:b w:val="0"/>
                <w:sz w:val="17"/>
              </w:rPr>
              <w:t>Production allow/deny policy, robots/terms, SSRF defense and archival evidence planned/TBC.</w:t>
            </w:r>
          </w:p>
        </w:tc>
      </w:tr>
      <w:tr>
        <w:tc>
          <w:tcPr>
            <w:tcW w:type="dxa" w:w="1701"/>
            <w:vAlign w:val="center"/>
            <w:shd w:fill="F3F6F8"/>
          </w:tcPr>
          <w:p>
            <w:pPr>
              <w:spacing w:after="0"/>
            </w:pPr>
            <w:r/>
            <w:r>
              <w:rPr>
                <w:rFonts w:ascii="Aptos" w:hAnsi="Aptos"/>
                <w:b w:val="0"/>
                <w:sz w:val="17"/>
              </w:rPr>
              <w:t>User instructions/templates</w:t>
            </w:r>
          </w:p>
        </w:tc>
        <w:tc>
          <w:tcPr>
            <w:tcW w:type="dxa" w:w="2494"/>
            <w:vAlign w:val="center"/>
          </w:tcPr>
          <w:p>
            <w:pPr>
              <w:spacing w:after="0"/>
            </w:pPr>
            <w:r/>
            <w:r>
              <w:rPr>
                <w:rFonts w:ascii="Aptos" w:hAnsi="Aptos"/>
                <w:b w:val="0"/>
                <w:sz w:val="17"/>
              </w:rPr>
              <w:t>Entered/uploaded by users.</w:t>
            </w:r>
          </w:p>
        </w:tc>
        <w:tc>
          <w:tcPr>
            <w:tcW w:type="dxa" w:w="2948"/>
            <w:vAlign w:val="center"/>
          </w:tcPr>
          <w:p>
            <w:pPr>
              <w:spacing w:after="0"/>
            </w:pPr>
            <w:r/>
            <w:r>
              <w:rPr>
                <w:rFonts w:ascii="Aptos" w:hAnsi="Aptos"/>
                <w:b w:val="0"/>
                <w:sz w:val="17"/>
              </w:rPr>
              <w:t>Moderation then inclusion in generation prompt.</w:t>
            </w:r>
          </w:p>
        </w:tc>
        <w:tc>
          <w:tcPr>
            <w:tcW w:type="dxa" w:w="3061"/>
            <w:vAlign w:val="center"/>
          </w:tcPr>
          <w:p>
            <w:pPr>
              <w:spacing w:after="0"/>
            </w:pPr>
            <w:r/>
            <w:r>
              <w:rPr>
                <w:rFonts w:ascii="Aptos" w:hAnsi="Aptos"/>
                <w:b w:val="0"/>
                <w:sz w:val="17"/>
              </w:rPr>
              <w:t>Moderation exists; fail-open behavior on outage requires production decision.</w:t>
            </w:r>
          </w:p>
        </w:tc>
      </w:tr>
      <w:tr>
        <w:tc>
          <w:tcPr>
            <w:tcW w:type="dxa" w:w="1701"/>
            <w:vAlign w:val="center"/>
            <w:shd w:fill="F3F6F8"/>
          </w:tcPr>
          <w:p>
            <w:pPr>
              <w:spacing w:after="0"/>
            </w:pPr>
            <w:r/>
            <w:r>
              <w:rPr>
                <w:rFonts w:ascii="Aptos" w:hAnsi="Aptos"/>
                <w:b w:val="0"/>
                <w:sz w:val="17"/>
              </w:rPr>
              <w:t>Generated narratives/metrics</w:t>
            </w:r>
          </w:p>
        </w:tc>
        <w:tc>
          <w:tcPr>
            <w:tcW w:type="dxa" w:w="2494"/>
            <w:vAlign w:val="center"/>
          </w:tcPr>
          <w:p>
            <w:pPr>
              <w:spacing w:after="0"/>
            </w:pPr>
            <w:r/>
            <w:r>
              <w:rPr>
                <w:rFonts w:ascii="Aptos" w:hAnsi="Aptos"/>
                <w:b w:val="0"/>
                <w:sz w:val="17"/>
              </w:rPr>
              <w:t>Model outputs and evaluation stages.</w:t>
            </w:r>
          </w:p>
        </w:tc>
        <w:tc>
          <w:tcPr>
            <w:tcW w:type="dxa" w:w="2948"/>
            <w:vAlign w:val="center"/>
          </w:tcPr>
          <w:p>
            <w:pPr>
              <w:spacing w:after="0"/>
            </w:pPr>
            <w:r/>
            <w:r>
              <w:rPr>
                <w:rFonts w:ascii="Aptos" w:hAnsi="Aptos"/>
                <w:b w:val="0"/>
                <w:sz w:val="17"/>
              </w:rPr>
              <w:t>Citation normalization, claim analysis, confidence calculation, versioning.</w:t>
            </w:r>
          </w:p>
        </w:tc>
        <w:tc>
          <w:tcPr>
            <w:tcW w:type="dxa" w:w="3061"/>
            <w:vAlign w:val="center"/>
          </w:tcPr>
          <w:p>
            <w:pPr>
              <w:spacing w:after="0"/>
            </w:pPr>
            <w:r/>
            <w:r>
              <w:rPr>
                <w:rFonts w:ascii="Aptos" w:hAnsi="Aptos"/>
                <w:b w:val="0"/>
                <w:sz w:val="17"/>
              </w:rPr>
              <w:t>Retention, legal hold and quality thresholds TBC.</w:t>
            </w:r>
          </w:p>
        </w:tc>
      </w:tr>
      <w:tr>
        <w:tc>
          <w:tcPr>
            <w:tcW w:type="dxa" w:w="1701"/>
            <w:vAlign w:val="center"/>
            <w:shd w:fill="F3F6F8"/>
          </w:tcPr>
          <w:p>
            <w:pPr>
              <w:spacing w:after="0"/>
            </w:pPr>
            <w:r/>
            <w:r>
              <w:rPr>
                <w:rFonts w:ascii="Aptos" w:hAnsi="Aptos"/>
                <w:b w:val="0"/>
                <w:sz w:val="17"/>
              </w:rPr>
              <w:t>Identity/audit data</w:t>
            </w:r>
          </w:p>
        </w:tc>
        <w:tc>
          <w:tcPr>
            <w:tcW w:type="dxa" w:w="2494"/>
            <w:vAlign w:val="center"/>
          </w:tcPr>
          <w:p>
            <w:pPr>
              <w:spacing w:after="0"/>
            </w:pPr>
            <w:r/>
            <w:r>
              <w:rPr>
                <w:rFonts w:ascii="Aptos" w:hAnsi="Aptos"/>
                <w:b w:val="0"/>
                <w:sz w:val="17"/>
              </w:rPr>
              <w:t>Account/session and HTTP/runtime events.</w:t>
            </w:r>
          </w:p>
        </w:tc>
        <w:tc>
          <w:tcPr>
            <w:tcW w:type="dxa" w:w="2948"/>
            <w:vAlign w:val="center"/>
          </w:tcPr>
          <w:p>
            <w:pPr>
              <w:spacing w:after="0"/>
            </w:pPr>
            <w:r/>
            <w:r>
              <w:rPr>
                <w:rFonts w:ascii="Aptos" w:hAnsi="Aptos"/>
                <w:b w:val="0"/>
                <w:sz w:val="17"/>
              </w:rPr>
              <w:t>Authentication, authorization, investigation and traceability.</w:t>
            </w:r>
          </w:p>
        </w:tc>
        <w:tc>
          <w:tcPr>
            <w:tcW w:type="dxa" w:w="3061"/>
            <w:vAlign w:val="center"/>
          </w:tcPr>
          <w:p>
            <w:pPr>
              <w:spacing w:after="0"/>
            </w:pPr>
            <w:r/>
            <w:r>
              <w:rPr>
                <w:rFonts w:ascii="Aptos" w:hAnsi="Aptos"/>
                <w:b w:val="0"/>
                <w:sz w:val="17"/>
              </w:rPr>
              <w:t>Append-only application audit described; retention and tamper-evidence TBC.</w:t>
            </w:r>
          </w:p>
        </w:tc>
      </w:tr>
    </w:tbl>
    <w:p>
      <w:pPr>
        <w:spacing w:after="0"/>
      </w:pPr>
    </w:p>
    <w:p>
      <w:pPr>
        <w:pStyle w:val="Heading2"/>
      </w:pPr>
      <w:r>
        <w:t>5.2 Training, validation and test data</w:t>
      </w:r>
    </w:p>
    <w:p>
      <w:r>
        <w:t>Credit Dossier integrates pre-trained third-party models; no local foundation-model training dataset is evidenced. Consequently, supplier documentation is required for upstream training methods and data where legally available. Application-level validation data must still represent intended users, document types, industries, jurisdictions, credit sections, incomplete/conflicting evidence, adversarial inputs and relevant affected groups. Synthetic demonstration data must not be treated as sufficient proof of real-world performance.</w:t>
      </w:r>
    </w:p>
    <w:tbl>
      <w:tblPr>
        <w:tblStyle w:val="TableGrid"/>
        <w:tblW w:type="auto" w:w="0"/>
        <w:jc w:val="center"/>
        <w:tblLook w:firstColumn="1" w:firstRow="1" w:lastColumn="0" w:lastRow="0" w:noHBand="0" w:noVBand="1" w:val="04A0"/>
      </w:tblPr>
      <w:tblGrid>
        <w:gridCol w:w="5014"/>
        <w:gridCol w:w="5014"/>
      </w:tblGrid>
      <w:tr>
        <w:tc>
          <w:tcPr>
            <w:tcW w:type="dxa" w:w="2835"/>
            <w:vAlign w:val="center"/>
            <w:shd w:fill="17365D"/>
          </w:tcPr>
          <w:p>
            <w:pPr>
              <w:spacing w:after="0"/>
            </w:pPr>
            <w:r/>
            <w:r>
              <w:rPr>
                <w:rFonts w:ascii="Aptos" w:hAnsi="Aptos"/>
                <w:b/>
                <w:color w:val="FFFFFF"/>
                <w:sz w:val="17"/>
              </w:rPr>
              <w:t>Dataset/register field</w:t>
            </w:r>
          </w:p>
        </w:tc>
        <w:tc>
          <w:tcPr>
            <w:tcW w:type="dxa" w:w="7370"/>
            <w:vAlign w:val="center"/>
            <w:shd w:fill="17365D"/>
          </w:tcPr>
          <w:p>
            <w:pPr>
              <w:spacing w:after="0"/>
            </w:pPr>
            <w:r/>
            <w:r>
              <w:rPr>
                <w:rFonts w:ascii="Aptos" w:hAnsi="Aptos"/>
                <w:b/>
                <w:color w:val="FFFFFF"/>
                <w:sz w:val="17"/>
              </w:rPr>
              <w:t>Required entry</w:t>
            </w:r>
          </w:p>
        </w:tc>
      </w:tr>
      <w:tr>
        <w:tc>
          <w:tcPr>
            <w:tcW w:type="dxa" w:w="2835"/>
            <w:vAlign w:val="center"/>
            <w:shd w:fill="F3F6F8"/>
          </w:tcPr>
          <w:p>
            <w:pPr>
              <w:spacing w:after="0"/>
            </w:pPr>
            <w:r/>
            <w:r>
              <w:rPr>
                <w:rFonts w:ascii="Aptos" w:hAnsi="Aptos"/>
                <w:b w:val="0"/>
                <w:sz w:val="17"/>
              </w:rPr>
              <w:t>Dataset ID and version</w:t>
            </w:r>
          </w:p>
        </w:tc>
        <w:tc>
          <w:tcPr>
            <w:tcW w:type="dxa" w:w="7370"/>
            <w:vAlign w:val="center"/>
          </w:tcPr>
          <w:p>
            <w:pPr>
              <w:spacing w:after="0"/>
            </w:pPr>
            <w:r/>
            <w:r>
              <w:rPr>
                <w:rFonts w:ascii="Aptos" w:hAnsi="Aptos"/>
                <w:b w:val="0"/>
                <w:sz w:val="17"/>
              </w:rPr>
              <w:t>TBC</w:t>
            </w:r>
          </w:p>
        </w:tc>
      </w:tr>
      <w:tr>
        <w:tc>
          <w:tcPr>
            <w:tcW w:type="dxa" w:w="2835"/>
            <w:vAlign w:val="center"/>
            <w:shd w:fill="F3F6F8"/>
          </w:tcPr>
          <w:p>
            <w:pPr>
              <w:spacing w:after="0"/>
            </w:pPr>
            <w:r/>
            <w:r>
              <w:rPr>
                <w:rFonts w:ascii="Aptos" w:hAnsi="Aptos"/>
                <w:b w:val="0"/>
                <w:sz w:val="17"/>
              </w:rPr>
              <w:t>Purpose and lifecycle phase</w:t>
            </w:r>
          </w:p>
        </w:tc>
        <w:tc>
          <w:tcPr>
            <w:tcW w:type="dxa" w:w="7370"/>
            <w:vAlign w:val="center"/>
          </w:tcPr>
          <w:p>
            <w:pPr>
              <w:spacing w:after="0"/>
            </w:pPr>
            <w:r/>
            <w:r>
              <w:rPr>
                <w:rFonts w:ascii="Aptos" w:hAnsi="Aptos"/>
                <w:b w:val="0"/>
                <w:sz w:val="17"/>
              </w:rPr>
              <w:t>Development / validation / testing / monitoring — TBC</w:t>
            </w:r>
          </w:p>
        </w:tc>
      </w:tr>
      <w:tr>
        <w:tc>
          <w:tcPr>
            <w:tcW w:type="dxa" w:w="2835"/>
            <w:vAlign w:val="center"/>
            <w:shd w:fill="F3F6F8"/>
          </w:tcPr>
          <w:p>
            <w:pPr>
              <w:spacing w:after="0"/>
            </w:pPr>
            <w:r/>
            <w:r>
              <w:rPr>
                <w:rFonts w:ascii="Aptos" w:hAnsi="Aptos"/>
                <w:b w:val="0"/>
                <w:sz w:val="17"/>
              </w:rPr>
              <w:t>Origin and collection authority</w:t>
            </w:r>
          </w:p>
        </w:tc>
        <w:tc>
          <w:tcPr>
            <w:tcW w:type="dxa" w:w="7370"/>
            <w:vAlign w:val="center"/>
          </w:tcPr>
          <w:p>
            <w:pPr>
              <w:spacing w:after="0"/>
            </w:pPr>
            <w:r/>
            <w:r>
              <w:rPr>
                <w:rFonts w:ascii="Aptos" w:hAnsi="Aptos"/>
                <w:b w:val="0"/>
                <w:sz w:val="17"/>
              </w:rPr>
              <w:t>Source system, owner, acquisition date, license/consent/lawful basis — TBC</w:t>
            </w:r>
          </w:p>
        </w:tc>
      </w:tr>
      <w:tr>
        <w:tc>
          <w:tcPr>
            <w:tcW w:type="dxa" w:w="2835"/>
            <w:vAlign w:val="center"/>
            <w:shd w:fill="F3F6F8"/>
          </w:tcPr>
          <w:p>
            <w:pPr>
              <w:spacing w:after="0"/>
            </w:pPr>
            <w:r/>
            <w:r>
              <w:rPr>
                <w:rFonts w:ascii="Aptos" w:hAnsi="Aptos"/>
                <w:b w:val="0"/>
                <w:sz w:val="17"/>
              </w:rPr>
              <w:t>Population and coverage</w:t>
            </w:r>
          </w:p>
        </w:tc>
        <w:tc>
          <w:tcPr>
            <w:tcW w:type="dxa" w:w="7370"/>
            <w:vAlign w:val="center"/>
          </w:tcPr>
          <w:p>
            <w:pPr>
              <w:spacing w:after="0"/>
            </w:pPr>
            <w:r/>
            <w:r>
              <w:rPr>
                <w:rFonts w:ascii="Aptos" w:hAnsi="Aptos"/>
                <w:b w:val="0"/>
                <w:sz w:val="17"/>
              </w:rPr>
              <w:t>Industries, regions, languages, document types, protected/relevant groups — TBC</w:t>
            </w:r>
          </w:p>
        </w:tc>
      </w:tr>
      <w:tr>
        <w:tc>
          <w:tcPr>
            <w:tcW w:type="dxa" w:w="2835"/>
            <w:vAlign w:val="center"/>
            <w:shd w:fill="F3F6F8"/>
          </w:tcPr>
          <w:p>
            <w:pPr>
              <w:spacing w:after="0"/>
            </w:pPr>
            <w:r/>
            <w:r>
              <w:rPr>
                <w:rFonts w:ascii="Aptos" w:hAnsi="Aptos"/>
                <w:b w:val="0"/>
                <w:sz w:val="17"/>
              </w:rPr>
              <w:t>Selection/exclusion</w:t>
            </w:r>
          </w:p>
        </w:tc>
        <w:tc>
          <w:tcPr>
            <w:tcW w:type="dxa" w:w="7370"/>
            <w:vAlign w:val="center"/>
          </w:tcPr>
          <w:p>
            <w:pPr>
              <w:spacing w:after="0"/>
            </w:pPr>
            <w:r/>
            <w:r>
              <w:rPr>
                <w:rFonts w:ascii="Aptos" w:hAnsi="Aptos"/>
                <w:b w:val="0"/>
                <w:sz w:val="17"/>
              </w:rPr>
              <w:t>Sampling, inclusion/exclusion rules and known missingness — TBC</w:t>
            </w:r>
          </w:p>
        </w:tc>
      </w:tr>
      <w:tr>
        <w:tc>
          <w:tcPr>
            <w:tcW w:type="dxa" w:w="2835"/>
            <w:vAlign w:val="center"/>
            <w:shd w:fill="F3F6F8"/>
          </w:tcPr>
          <w:p>
            <w:pPr>
              <w:spacing w:after="0"/>
            </w:pPr>
            <w:r/>
            <w:r>
              <w:rPr>
                <w:rFonts w:ascii="Aptos" w:hAnsi="Aptos"/>
                <w:b w:val="0"/>
                <w:sz w:val="17"/>
              </w:rPr>
              <w:t>Labeling</w:t>
            </w:r>
          </w:p>
        </w:tc>
        <w:tc>
          <w:tcPr>
            <w:tcW w:type="dxa" w:w="7370"/>
            <w:vAlign w:val="center"/>
          </w:tcPr>
          <w:p>
            <w:pPr>
              <w:spacing w:after="0"/>
            </w:pPr>
            <w:r/>
            <w:r>
              <w:rPr>
                <w:rFonts w:ascii="Aptos" w:hAnsi="Aptos"/>
                <w:b w:val="0"/>
                <w:sz w:val="17"/>
              </w:rPr>
              <w:t>Label definitions, annotator qualifications, adjudication and inter-rater agreement — TBC</w:t>
            </w:r>
          </w:p>
        </w:tc>
      </w:tr>
      <w:tr>
        <w:tc>
          <w:tcPr>
            <w:tcW w:type="dxa" w:w="2835"/>
            <w:vAlign w:val="center"/>
            <w:shd w:fill="F3F6F8"/>
          </w:tcPr>
          <w:p>
            <w:pPr>
              <w:spacing w:after="0"/>
            </w:pPr>
            <w:r/>
            <w:r>
              <w:rPr>
                <w:rFonts w:ascii="Aptos" w:hAnsi="Aptos"/>
                <w:b w:val="0"/>
                <w:sz w:val="17"/>
              </w:rPr>
              <w:t>Cleaning/transformation</w:t>
            </w:r>
          </w:p>
        </w:tc>
        <w:tc>
          <w:tcPr>
            <w:tcW w:type="dxa" w:w="7370"/>
            <w:vAlign w:val="center"/>
          </w:tcPr>
          <w:p>
            <w:pPr>
              <w:spacing w:after="0"/>
            </w:pPr>
            <w:r/>
            <w:r>
              <w:rPr>
                <w:rFonts w:ascii="Aptos" w:hAnsi="Aptos"/>
                <w:b w:val="0"/>
                <w:sz w:val="17"/>
              </w:rPr>
              <w:t>Deduplication, normalization, redaction, leakage checks and outlier handling — TBC</w:t>
            </w:r>
          </w:p>
        </w:tc>
      </w:tr>
      <w:tr>
        <w:tc>
          <w:tcPr>
            <w:tcW w:type="dxa" w:w="2835"/>
            <w:vAlign w:val="center"/>
            <w:shd w:fill="F3F6F8"/>
          </w:tcPr>
          <w:p>
            <w:pPr>
              <w:spacing w:after="0"/>
            </w:pPr>
            <w:r/>
            <w:r>
              <w:rPr>
                <w:rFonts w:ascii="Aptos" w:hAnsi="Aptos"/>
                <w:b w:val="0"/>
                <w:sz w:val="17"/>
              </w:rPr>
              <w:t>Quality and bias checks</w:t>
            </w:r>
          </w:p>
        </w:tc>
        <w:tc>
          <w:tcPr>
            <w:tcW w:type="dxa" w:w="7370"/>
            <w:vAlign w:val="center"/>
          </w:tcPr>
          <w:p>
            <w:pPr>
              <w:spacing w:after="0"/>
            </w:pPr>
            <w:r/>
            <w:r>
              <w:rPr>
                <w:rFonts w:ascii="Aptos" w:hAnsi="Aptos"/>
                <w:b w:val="0"/>
                <w:sz w:val="17"/>
              </w:rPr>
              <w:t>Completeness, accuracy, representativeness, balance and proxy-variable checks — TBC</w:t>
            </w:r>
          </w:p>
        </w:tc>
      </w:tr>
      <w:tr>
        <w:tc>
          <w:tcPr>
            <w:tcW w:type="dxa" w:w="2835"/>
            <w:vAlign w:val="center"/>
            <w:shd w:fill="F3F6F8"/>
          </w:tcPr>
          <w:p>
            <w:pPr>
              <w:spacing w:after="0"/>
            </w:pPr>
            <w:r/>
            <w:r>
              <w:rPr>
                <w:rFonts w:ascii="Aptos" w:hAnsi="Aptos"/>
                <w:b w:val="0"/>
                <w:sz w:val="17"/>
              </w:rPr>
              <w:t>Split integrity</w:t>
            </w:r>
          </w:p>
        </w:tc>
        <w:tc>
          <w:tcPr>
            <w:tcW w:type="dxa" w:w="7370"/>
            <w:vAlign w:val="center"/>
          </w:tcPr>
          <w:p>
            <w:pPr>
              <w:spacing w:after="0"/>
            </w:pPr>
            <w:r/>
            <w:r>
              <w:rPr>
                <w:rFonts w:ascii="Aptos" w:hAnsi="Aptos"/>
                <w:b w:val="0"/>
                <w:sz w:val="17"/>
              </w:rPr>
              <w:t>Train/validation/test separation and contamination controls — TBC / supplier evidence</w:t>
            </w:r>
          </w:p>
        </w:tc>
      </w:tr>
      <w:tr>
        <w:tc>
          <w:tcPr>
            <w:tcW w:type="dxa" w:w="2835"/>
            <w:vAlign w:val="center"/>
            <w:shd w:fill="F3F6F8"/>
          </w:tcPr>
          <w:p>
            <w:pPr>
              <w:spacing w:after="0"/>
            </w:pPr>
            <w:r/>
            <w:r>
              <w:rPr>
                <w:rFonts w:ascii="Aptos" w:hAnsi="Aptos"/>
                <w:b w:val="0"/>
                <w:sz w:val="17"/>
              </w:rPr>
              <w:t>Retention and access</w:t>
            </w:r>
          </w:p>
        </w:tc>
        <w:tc>
          <w:tcPr>
            <w:tcW w:type="dxa" w:w="7370"/>
            <w:vAlign w:val="center"/>
          </w:tcPr>
          <w:p>
            <w:pPr>
              <w:spacing w:after="0"/>
            </w:pPr>
            <w:r/>
            <w:r>
              <w:rPr>
                <w:rFonts w:ascii="Aptos" w:hAnsi="Aptos"/>
                <w:b w:val="0"/>
                <w:sz w:val="17"/>
              </w:rPr>
              <w:t>Approved storage, roles, encryption, retention and deletion evidence — TBC</w:t>
            </w:r>
          </w:p>
        </w:tc>
      </w:tr>
    </w:tbl>
    <w:p>
      <w:pPr>
        <w:spacing w:after="0"/>
      </w:pPr>
    </w:p>
    <w:p>
      <w:pPr>
        <w:pStyle w:val="Heading1"/>
      </w:pPr>
      <w:r>
        <w:t>6. Output logic, human oversight and instructions</w:t>
      </w:r>
    </w:p>
    <w:p>
      <w:pPr>
        <w:pStyle w:val="Heading2"/>
      </w:pPr>
      <w:r>
        <w:t>6.1 Output interpretation</w:t>
      </w:r>
    </w:p>
    <w:p>
      <w:r>
        <w:t>The system produces draft narratives, citations/source details, claim categories, confidence signals and exported dossiers. Confidence is a configured judge score normalized to 0–100 when available, with a legacy evaluator fallback. It must not be interpreted as a calibrated probability of factual correctness, repayment, default or regulatory compliance. Users must inspect underlying evidence, distinguish grounded/inferred/unsupported claims, resolve gaps and apply professional credit judgment.</w:t>
      </w:r>
    </w:p>
    <w:p>
      <w:pPr>
        <w:pStyle w:val="Heading2"/>
      </w:pPr>
      <w:r>
        <w:t>6.2 Human oversight measures</w:t>
      </w: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1701"/>
            <w:vAlign w:val="center"/>
            <w:shd w:fill="17365D"/>
          </w:tcPr>
          <w:p>
            <w:pPr>
              <w:spacing w:after="0"/>
            </w:pPr>
            <w:r/>
            <w:r>
              <w:rPr>
                <w:rFonts w:ascii="Aptos" w:hAnsi="Aptos"/>
                <w:b/>
                <w:color w:val="FFFFFF"/>
                <w:sz w:val="17"/>
              </w:rPr>
              <w:t>Measure</w:t>
            </w:r>
          </w:p>
        </w:tc>
        <w:tc>
          <w:tcPr>
            <w:tcW w:type="dxa" w:w="4082"/>
            <w:vAlign w:val="center"/>
            <w:shd w:fill="17365D"/>
          </w:tcPr>
          <w:p>
            <w:pPr>
              <w:spacing w:after="0"/>
            </w:pPr>
            <w:r/>
            <w:r>
              <w:rPr>
                <w:rFonts w:ascii="Aptos" w:hAnsi="Aptos"/>
                <w:b/>
                <w:color w:val="FFFFFF"/>
                <w:sz w:val="17"/>
              </w:rPr>
              <w:t>Implementation</w:t>
            </w:r>
          </w:p>
        </w:tc>
        <w:tc>
          <w:tcPr>
            <w:tcW w:type="dxa" w:w="3231"/>
            <w:vAlign w:val="center"/>
            <w:shd w:fill="17365D"/>
          </w:tcPr>
          <w:p>
            <w:pPr>
              <w:spacing w:after="0"/>
            </w:pPr>
            <w:r/>
            <w:r>
              <w:rPr>
                <w:rFonts w:ascii="Aptos" w:hAnsi="Aptos"/>
                <w:b/>
                <w:color w:val="FFFFFF"/>
                <w:sz w:val="17"/>
              </w:rPr>
              <w:t>Required operator behavior</w:t>
            </w:r>
          </w:p>
        </w:tc>
        <w:tc>
          <w:tcPr>
            <w:tcW w:type="dxa" w:w="1191"/>
            <w:vAlign w:val="center"/>
            <w:shd w:fill="17365D"/>
          </w:tcPr>
          <w:p>
            <w:pPr>
              <w:spacing w:after="0"/>
            </w:pPr>
            <w:r/>
            <w:r>
              <w:rPr>
                <w:rFonts w:ascii="Aptos" w:hAnsi="Aptos"/>
                <w:b/>
                <w:color w:val="FFFFFF"/>
                <w:sz w:val="17"/>
              </w:rPr>
              <w:t>Status</w:t>
            </w:r>
          </w:p>
        </w:tc>
      </w:tr>
      <w:tr>
        <w:tc>
          <w:tcPr>
            <w:tcW w:type="dxa" w:w="1701"/>
            <w:vAlign w:val="center"/>
            <w:shd w:fill="F3F6F8"/>
          </w:tcPr>
          <w:p>
            <w:pPr>
              <w:spacing w:after="0"/>
            </w:pPr>
            <w:r/>
            <w:r>
              <w:rPr>
                <w:rFonts w:ascii="Aptos" w:hAnsi="Aptos"/>
                <w:b w:val="0"/>
                <w:sz w:val="17"/>
              </w:rPr>
              <w:t>Role segregation</w:t>
            </w:r>
          </w:p>
        </w:tc>
        <w:tc>
          <w:tcPr>
            <w:tcW w:type="dxa" w:w="4082"/>
            <w:vAlign w:val="center"/>
          </w:tcPr>
          <w:p>
            <w:pPr>
              <w:spacing w:after="0"/>
            </w:pPr>
            <w:r/>
            <w:r>
              <w:rPr>
                <w:rFonts w:ascii="Aptos" w:hAnsi="Aptos"/>
                <w:b w:val="0"/>
                <w:sz w:val="17"/>
              </w:rPr>
              <w:t>RMs create/submit owned deals; Credit Analysts review all deals and approve/deny; Administrators manage security and cannot access deal workflows.</w:t>
            </w:r>
          </w:p>
        </w:tc>
        <w:tc>
          <w:tcPr>
            <w:tcW w:type="dxa" w:w="3231"/>
            <w:vAlign w:val="center"/>
          </w:tcPr>
          <w:p>
            <w:pPr>
              <w:spacing w:after="0"/>
            </w:pPr>
            <w:r/>
            <w:r>
              <w:rPr>
                <w:rFonts w:ascii="Aptos" w:hAnsi="Aptos"/>
                <w:b w:val="0"/>
                <w:sz w:val="17"/>
              </w:rPr>
              <w:t>Use named accounts; do not share credentials; escalate incorrect authorization.</w:t>
            </w:r>
          </w:p>
        </w:tc>
        <w:tc>
          <w:tcPr>
            <w:tcW w:type="dxa" w:w="1191"/>
            <w:vAlign w:val="center"/>
          </w:tcPr>
          <w:p>
            <w:pPr>
              <w:spacing w:after="0"/>
            </w:pPr>
            <w:r/>
            <w:r>
              <w:rPr>
                <w:rFonts w:ascii="Aptos" w:hAnsi="Aptos"/>
                <w:b w:val="0"/>
                <w:sz w:val="17"/>
              </w:rPr>
              <w:t>Implemented</w:t>
            </w:r>
          </w:p>
        </w:tc>
      </w:tr>
      <w:tr>
        <w:tc>
          <w:tcPr>
            <w:tcW w:type="dxa" w:w="1701"/>
            <w:vAlign w:val="center"/>
            <w:shd w:fill="F3F6F8"/>
          </w:tcPr>
          <w:p>
            <w:pPr>
              <w:spacing w:after="0"/>
            </w:pPr>
            <w:r/>
            <w:r>
              <w:rPr>
                <w:rFonts w:ascii="Aptos" w:hAnsi="Aptos"/>
                <w:b w:val="0"/>
                <w:sz w:val="17"/>
              </w:rPr>
              <w:t>Source inspection</w:t>
            </w:r>
          </w:p>
        </w:tc>
        <w:tc>
          <w:tcPr>
            <w:tcW w:type="dxa" w:w="4082"/>
            <w:vAlign w:val="center"/>
          </w:tcPr>
          <w:p>
            <w:pPr>
              <w:spacing w:after="0"/>
            </w:pPr>
            <w:r/>
            <w:r>
              <w:rPr>
                <w:rFonts w:ascii="Aptos" w:hAnsi="Aptos"/>
                <w:b w:val="0"/>
                <w:sz w:val="17"/>
              </w:rPr>
              <w:t>Source-aware narratives expose citations and retrieved-source details.</w:t>
            </w:r>
          </w:p>
        </w:tc>
        <w:tc>
          <w:tcPr>
            <w:tcW w:type="dxa" w:w="3231"/>
            <w:vAlign w:val="center"/>
          </w:tcPr>
          <w:p>
            <w:pPr>
              <w:spacing w:after="0"/>
            </w:pPr>
            <w:r/>
            <w:r>
              <w:rPr>
                <w:rFonts w:ascii="Aptos" w:hAnsi="Aptos"/>
                <w:b w:val="0"/>
                <w:sz w:val="17"/>
              </w:rPr>
              <w:t>Open and verify material claims against authoritative documents.</w:t>
            </w:r>
          </w:p>
        </w:tc>
        <w:tc>
          <w:tcPr>
            <w:tcW w:type="dxa" w:w="1191"/>
            <w:vAlign w:val="center"/>
          </w:tcPr>
          <w:p>
            <w:pPr>
              <w:spacing w:after="0"/>
            </w:pPr>
            <w:r/>
            <w:r>
              <w:rPr>
                <w:rFonts w:ascii="Aptos" w:hAnsi="Aptos"/>
                <w:b w:val="0"/>
                <w:sz w:val="17"/>
              </w:rPr>
              <w:t>Implemented; validation evidence TBC</w:t>
            </w:r>
          </w:p>
        </w:tc>
      </w:tr>
      <w:tr>
        <w:tc>
          <w:tcPr>
            <w:tcW w:type="dxa" w:w="1701"/>
            <w:vAlign w:val="center"/>
            <w:shd w:fill="F3F6F8"/>
          </w:tcPr>
          <w:p>
            <w:pPr>
              <w:spacing w:after="0"/>
            </w:pPr>
            <w:r/>
            <w:r>
              <w:rPr>
                <w:rFonts w:ascii="Aptos" w:hAnsi="Aptos"/>
                <w:b w:val="0"/>
                <w:sz w:val="17"/>
              </w:rPr>
              <w:t>Editable/versioned drafts</w:t>
            </w:r>
          </w:p>
        </w:tc>
        <w:tc>
          <w:tcPr>
            <w:tcW w:type="dxa" w:w="4082"/>
            <w:vAlign w:val="center"/>
          </w:tcPr>
          <w:p>
            <w:pPr>
              <w:spacing w:after="0"/>
            </w:pPr>
            <w:r/>
            <w:r>
              <w:rPr>
                <w:rFonts w:ascii="Aptos" w:hAnsi="Aptos"/>
                <w:b w:val="0"/>
                <w:sz w:val="17"/>
              </w:rPr>
              <w:t>Manual/generated versions, comparison, final selection and deletion.</w:t>
            </w:r>
          </w:p>
        </w:tc>
        <w:tc>
          <w:tcPr>
            <w:tcW w:type="dxa" w:w="3231"/>
            <w:vAlign w:val="center"/>
          </w:tcPr>
          <w:p>
            <w:pPr>
              <w:spacing w:after="0"/>
            </w:pPr>
            <w:r/>
            <w:r>
              <w:rPr>
                <w:rFonts w:ascii="Aptos" w:hAnsi="Aptos"/>
                <w:b w:val="0"/>
                <w:sz w:val="17"/>
              </w:rPr>
              <w:t>Record material corrections and rationale; select final only after evidence check.</w:t>
            </w:r>
          </w:p>
        </w:tc>
        <w:tc>
          <w:tcPr>
            <w:tcW w:type="dxa" w:w="1191"/>
            <w:vAlign w:val="center"/>
          </w:tcPr>
          <w:p>
            <w:pPr>
              <w:spacing w:after="0"/>
            </w:pPr>
            <w:r/>
            <w:r>
              <w:rPr>
                <w:rFonts w:ascii="Aptos" w:hAnsi="Aptos"/>
                <w:b w:val="0"/>
                <w:sz w:val="17"/>
              </w:rPr>
              <w:t>Implemented</w:t>
            </w:r>
          </w:p>
        </w:tc>
      </w:tr>
      <w:tr>
        <w:tc>
          <w:tcPr>
            <w:tcW w:type="dxa" w:w="1701"/>
            <w:vAlign w:val="center"/>
            <w:shd w:fill="F3F6F8"/>
          </w:tcPr>
          <w:p>
            <w:pPr>
              <w:spacing w:after="0"/>
            </w:pPr>
            <w:r/>
            <w:r>
              <w:rPr>
                <w:rFonts w:ascii="Aptos" w:hAnsi="Aptos"/>
                <w:b w:val="0"/>
                <w:sz w:val="17"/>
              </w:rPr>
              <w:t>Submission snapshot</w:t>
            </w:r>
          </w:p>
        </w:tc>
        <w:tc>
          <w:tcPr>
            <w:tcW w:type="dxa" w:w="4082"/>
            <w:vAlign w:val="center"/>
          </w:tcPr>
          <w:p>
            <w:pPr>
              <w:spacing w:after="0"/>
            </w:pPr>
            <w:r/>
            <w:r>
              <w:rPr>
                <w:rFonts w:ascii="Aptos" w:hAnsi="Aptos"/>
                <w:b w:val="0"/>
                <w:sz w:val="17"/>
              </w:rPr>
              <w:t>Submission freezes deal and section content for review and PDF download.</w:t>
            </w:r>
          </w:p>
        </w:tc>
        <w:tc>
          <w:tcPr>
            <w:tcW w:type="dxa" w:w="3231"/>
            <w:vAlign w:val="center"/>
          </w:tcPr>
          <w:p>
            <w:pPr>
              <w:spacing w:after="0"/>
            </w:pPr>
            <w:r/>
            <w:r>
              <w:rPr>
                <w:rFonts w:ascii="Aptos" w:hAnsi="Aptos"/>
                <w:b w:val="0"/>
                <w:sz w:val="17"/>
              </w:rPr>
              <w:t>Review the frozen version; deny with comments when corrections are required.</w:t>
            </w:r>
          </w:p>
        </w:tc>
        <w:tc>
          <w:tcPr>
            <w:tcW w:type="dxa" w:w="1191"/>
            <w:vAlign w:val="center"/>
          </w:tcPr>
          <w:p>
            <w:pPr>
              <w:spacing w:after="0"/>
            </w:pPr>
            <w:r/>
            <w:r>
              <w:rPr>
                <w:rFonts w:ascii="Aptos" w:hAnsi="Aptos"/>
                <w:b w:val="0"/>
                <w:sz w:val="17"/>
              </w:rPr>
              <w:t>Implemented; focused tests planned</w:t>
            </w:r>
          </w:p>
        </w:tc>
      </w:tr>
      <w:tr>
        <w:tc>
          <w:tcPr>
            <w:tcW w:type="dxa" w:w="1701"/>
            <w:vAlign w:val="center"/>
            <w:shd w:fill="F3F6F8"/>
          </w:tcPr>
          <w:p>
            <w:pPr>
              <w:spacing w:after="0"/>
            </w:pPr>
            <w:r/>
            <w:r>
              <w:rPr>
                <w:rFonts w:ascii="Aptos" w:hAnsi="Aptos"/>
                <w:b w:val="0"/>
                <w:sz w:val="17"/>
              </w:rPr>
              <w:t>Stop/override</w:t>
            </w:r>
          </w:p>
        </w:tc>
        <w:tc>
          <w:tcPr>
            <w:tcW w:type="dxa" w:w="4082"/>
            <w:vAlign w:val="center"/>
          </w:tcPr>
          <w:p>
            <w:pPr>
              <w:spacing w:after="0"/>
            </w:pPr>
            <w:r/>
            <w:r>
              <w:rPr>
                <w:rFonts w:ascii="Aptos" w:hAnsi="Aptos"/>
                <w:b w:val="0"/>
                <w:sz w:val="17"/>
              </w:rPr>
              <w:t>Users can decline, edit, regenerate or deny output; operational emergency-stop procedure not documented.</w:t>
            </w:r>
          </w:p>
        </w:tc>
        <w:tc>
          <w:tcPr>
            <w:tcW w:type="dxa" w:w="3231"/>
            <w:vAlign w:val="center"/>
          </w:tcPr>
          <w:p>
            <w:pPr>
              <w:spacing w:after="0"/>
            </w:pPr>
            <w:r/>
            <w:r>
              <w:rPr>
                <w:rFonts w:ascii="Aptos" w:hAnsi="Aptos"/>
                <w:b w:val="0"/>
                <w:sz w:val="17"/>
              </w:rPr>
              <w:t>Do not release doubtful output; report incident and preserve evidence.</w:t>
            </w:r>
          </w:p>
        </w:tc>
        <w:tc>
          <w:tcPr>
            <w:tcW w:type="dxa" w:w="1191"/>
            <w:vAlign w:val="center"/>
          </w:tcPr>
          <w:p>
            <w:pPr>
              <w:spacing w:after="0"/>
            </w:pPr>
            <w:r/>
            <w:r>
              <w:rPr>
                <w:rFonts w:ascii="Aptos" w:hAnsi="Aptos"/>
                <w:b w:val="0"/>
                <w:sz w:val="17"/>
              </w:rPr>
              <w:t>Partial</w:t>
            </w:r>
          </w:p>
        </w:tc>
      </w:tr>
      <w:tr>
        <w:tc>
          <w:tcPr>
            <w:tcW w:type="dxa" w:w="1701"/>
            <w:vAlign w:val="center"/>
            <w:shd w:fill="F3F6F8"/>
          </w:tcPr>
          <w:p>
            <w:pPr>
              <w:spacing w:after="0"/>
            </w:pPr>
            <w:r/>
            <w:r>
              <w:rPr>
                <w:rFonts w:ascii="Aptos" w:hAnsi="Aptos"/>
                <w:b w:val="0"/>
                <w:sz w:val="17"/>
              </w:rPr>
              <w:t>Training/competence</w:t>
            </w:r>
          </w:p>
        </w:tc>
        <w:tc>
          <w:tcPr>
            <w:tcW w:type="dxa" w:w="4082"/>
            <w:vAlign w:val="center"/>
          </w:tcPr>
          <w:p>
            <w:pPr>
              <w:spacing w:after="0"/>
            </w:pPr>
            <w:r/>
            <w:r>
              <w:rPr>
                <w:rFonts w:ascii="Aptos" w:hAnsi="Aptos"/>
                <w:b w:val="0"/>
                <w:sz w:val="17"/>
              </w:rPr>
              <w:t>No approved curriculum evidenced.</w:t>
            </w:r>
          </w:p>
        </w:tc>
        <w:tc>
          <w:tcPr>
            <w:tcW w:type="dxa" w:w="3231"/>
            <w:vAlign w:val="center"/>
          </w:tcPr>
          <w:p>
            <w:pPr>
              <w:spacing w:after="0"/>
            </w:pPr>
            <w:r/>
            <w:r>
              <w:rPr>
                <w:rFonts w:ascii="Aptos" w:hAnsi="Aptos"/>
                <w:b w:val="0"/>
                <w:sz w:val="17"/>
              </w:rPr>
              <w:t>Complete AI literacy, credit, privacy and secure-use training before access.</w:t>
            </w:r>
          </w:p>
        </w:tc>
        <w:tc>
          <w:tcPr>
            <w:tcW w:type="dxa" w:w="1191"/>
            <w:vAlign w:val="center"/>
          </w:tcPr>
          <w:p>
            <w:pPr>
              <w:spacing w:after="0"/>
            </w:pPr>
            <w:r/>
            <w:r>
              <w:rPr>
                <w:rFonts w:ascii="Aptos" w:hAnsi="Aptos"/>
                <w:b w:val="0"/>
                <w:sz w:val="17"/>
              </w:rPr>
              <w:t>TBC</w:t>
            </w:r>
          </w:p>
        </w:tc>
      </w:tr>
    </w:tbl>
    <w:p>
      <w:pPr>
        <w:spacing w:after="0"/>
      </w:pPr>
    </w:p>
    <w:p>
      <w:pPr>
        <w:pStyle w:val="Heading2"/>
      </w:pPr>
      <w:r>
        <w:t>6.3 Minimum instructions and warnings</w:t>
      </w:r>
    </w:p>
    <w:p>
      <w:pPr>
        <w:pStyle w:val="ListBullet"/>
      </w:pPr>
      <w:r>
        <w:t>Use only for the approved intended purpose and authorized deal population.</w:t>
      </w:r>
    </w:p>
    <w:p>
      <w:pPr>
        <w:pStyle w:val="ListBullet"/>
      </w:pPr>
      <w:r>
        <w:t>Treat all generated text, citations, classifications and scores as decision support requiring review.</w:t>
      </w:r>
    </w:p>
    <w:p>
      <w:pPr>
        <w:pStyle w:val="ListBullet"/>
      </w:pPr>
      <w:r>
        <w:t>Verify financially or legally material claims against the displayed source and the system of record.</w:t>
      </w:r>
    </w:p>
    <w:p>
      <w:pPr>
        <w:pStyle w:val="ListBullet"/>
      </w:pPr>
      <w:r>
        <w:t>Do not infer that missing evidence means absence of risk; record data gaps and request additional evidence.</w:t>
      </w:r>
    </w:p>
    <w:p>
      <w:pPr>
        <w:pStyle w:val="ListBullet"/>
      </w:pPr>
      <w:r>
        <w:t>Do not enter secrets, excessive personal data, special-category data, or unlicensed content unless specifically authorized.</w:t>
      </w:r>
    </w:p>
    <w:p>
      <w:pPr>
        <w:pStyle w:val="ListBullet"/>
      </w:pPr>
      <w:r>
        <w:t>Do not use protected characteristics or unlawful proxies in credit decisions.</w:t>
      </w:r>
    </w:p>
    <w:p>
      <w:pPr>
        <w:pStyle w:val="ListBullet"/>
      </w:pPr>
      <w:r>
        <w:t>Reject or escalate output that is unsupported, inconsistent, discriminatory, unsafe, stale, or outside the user's competence.</w:t>
      </w:r>
    </w:p>
    <w:p>
      <w:pPr>
        <w:pStyle w:val="ListBullet"/>
      </w:pPr>
      <w:r>
        <w:t>Report incidents with deal/version ID, timestamp and event ID; preserve the reviewed snapshot and relevant logs.</w:t>
      </w:r>
    </w:p>
    <w:p>
      <w:pPr>
        <w:pStyle w:val="Heading1"/>
      </w:pPr>
      <w:r>
        <w:t>7. Monitoring, functioning and control</w:t>
      </w:r>
    </w:p>
    <w:p>
      <w:pPr>
        <w:pStyle w:val="Heading2"/>
      </w:pPr>
      <w:r>
        <w:t>7.1 Capabilities</w:t>
      </w:r>
    </w:p>
    <w:p>
      <w:pPr>
        <w:pStyle w:val="ListBullet"/>
      </w:pPr>
      <w:r>
        <w:t>Draft sixteen standard credit sections using section-specific prompts and agents.</w:t>
      </w:r>
    </w:p>
    <w:p>
      <w:pPr>
        <w:pStyle w:val="ListBullet"/>
      </w:pPr>
      <w:r>
        <w:t>Combine deal fields, shared company documents, deal documents, sixteen structured datasets and approved URLs.</w:t>
      </w:r>
    </w:p>
    <w:p>
      <w:pPr>
        <w:pStyle w:val="ListBullet"/>
      </w:pPr>
      <w:r>
        <w:t>Moderate user-supplied instructions/templates, surface citations and source metadata, and classify claims.</w:t>
      </w:r>
    </w:p>
    <w:p>
      <w:pPr>
        <w:pStyle w:val="ListBullet"/>
      </w:pPr>
      <w:r>
        <w:t>Support editing, narrative history, final-version selection, frozen submission review and document export.</w:t>
      </w:r>
    </w:p>
    <w:p>
      <w:pPr>
        <w:pStyle w:val="ListBullet"/>
      </w:pPr>
      <w:r>
        <w:t>Capture Mistral telemetry and display stored generation/observability details where available.</w:t>
      </w:r>
    </w:p>
    <w:p>
      <w:pPr>
        <w:pStyle w:val="Heading2"/>
      </w:pPr>
      <w:r>
        <w:t>7.2 Known limitations and foreseeable unintended outcomes</w:t>
      </w:r>
    </w:p>
    <w:tbl>
      <w:tblPr>
        <w:tblStyle w:val="TableGrid"/>
        <w:tblW w:type="auto" w:w="0"/>
        <w:jc w:val="center"/>
        <w:tblLook w:firstColumn="1" w:firstRow="1" w:lastColumn="0" w:lastRow="0" w:noHBand="0" w:noVBand="1" w:val="04A0"/>
      </w:tblPr>
      <w:tblGrid>
        <w:gridCol w:w="3343"/>
        <w:gridCol w:w="3343"/>
        <w:gridCol w:w="3343"/>
      </w:tblGrid>
      <w:tr>
        <w:tc>
          <w:tcPr>
            <w:tcW w:type="dxa" w:w="2381"/>
            <w:vAlign w:val="center"/>
            <w:shd w:fill="17365D"/>
          </w:tcPr>
          <w:p>
            <w:pPr>
              <w:spacing w:after="0"/>
            </w:pPr>
            <w:r/>
            <w:r>
              <w:rPr>
                <w:rFonts w:ascii="Aptos" w:hAnsi="Aptos"/>
                <w:b/>
                <w:color w:val="FFFFFF"/>
                <w:sz w:val="17"/>
              </w:rPr>
              <w:t>Limitation / outcome</w:t>
            </w:r>
          </w:p>
        </w:tc>
        <w:tc>
          <w:tcPr>
            <w:tcW w:type="dxa" w:w="3402"/>
            <w:vAlign w:val="center"/>
            <w:shd w:fill="17365D"/>
          </w:tcPr>
          <w:p>
            <w:pPr>
              <w:spacing w:after="0"/>
            </w:pPr>
            <w:r/>
            <w:r>
              <w:rPr>
                <w:rFonts w:ascii="Aptos" w:hAnsi="Aptos"/>
                <w:b/>
                <w:color w:val="FFFFFF"/>
                <w:sz w:val="17"/>
              </w:rPr>
              <w:t>Potential effect</w:t>
            </w:r>
          </w:p>
        </w:tc>
        <w:tc>
          <w:tcPr>
            <w:tcW w:type="dxa" w:w="4422"/>
            <w:vAlign w:val="center"/>
            <w:shd w:fill="17365D"/>
          </w:tcPr>
          <w:p>
            <w:pPr>
              <w:spacing w:after="0"/>
            </w:pPr>
            <w:r/>
            <w:r>
              <w:rPr>
                <w:rFonts w:ascii="Aptos" w:hAnsi="Aptos"/>
                <w:b/>
                <w:color w:val="FFFFFF"/>
                <w:sz w:val="17"/>
              </w:rPr>
              <w:t>Control / required action</w:t>
            </w:r>
          </w:p>
        </w:tc>
      </w:tr>
      <w:tr>
        <w:tc>
          <w:tcPr>
            <w:tcW w:type="dxa" w:w="2381"/>
            <w:vAlign w:val="center"/>
            <w:shd w:fill="F3F6F8"/>
          </w:tcPr>
          <w:p>
            <w:pPr>
              <w:spacing w:after="0"/>
            </w:pPr>
            <w:r/>
            <w:r>
              <w:rPr>
                <w:rFonts w:ascii="Aptos" w:hAnsi="Aptos"/>
                <w:b w:val="0"/>
                <w:sz w:val="17"/>
              </w:rPr>
              <w:t>Hallucinated or unsupported statements</w:t>
            </w:r>
          </w:p>
        </w:tc>
        <w:tc>
          <w:tcPr>
            <w:tcW w:type="dxa" w:w="3402"/>
            <w:vAlign w:val="center"/>
          </w:tcPr>
          <w:p>
            <w:pPr>
              <w:spacing w:after="0"/>
            </w:pPr>
            <w:r/>
            <w:r>
              <w:rPr>
                <w:rFonts w:ascii="Aptos" w:hAnsi="Aptos"/>
                <w:b w:val="0"/>
                <w:sz w:val="17"/>
              </w:rPr>
              <w:t>Incorrect credit narrative or decision influence.</w:t>
            </w:r>
          </w:p>
        </w:tc>
        <w:tc>
          <w:tcPr>
            <w:tcW w:type="dxa" w:w="4422"/>
            <w:vAlign w:val="center"/>
          </w:tcPr>
          <w:p>
            <w:pPr>
              <w:spacing w:after="0"/>
            </w:pPr>
            <w:r/>
            <w:r>
              <w:rPr>
                <w:rFonts w:ascii="Aptos" w:hAnsi="Aptos"/>
                <w:b w:val="0"/>
                <w:sz w:val="17"/>
              </w:rPr>
              <w:t>Citation inspection, claim classification, analyst review; establish release thresholds and regression tests.</w:t>
            </w:r>
          </w:p>
        </w:tc>
      </w:tr>
      <w:tr>
        <w:tc>
          <w:tcPr>
            <w:tcW w:type="dxa" w:w="2381"/>
            <w:vAlign w:val="center"/>
            <w:shd w:fill="F3F6F8"/>
          </w:tcPr>
          <w:p>
            <w:pPr>
              <w:spacing w:after="0"/>
            </w:pPr>
            <w:r/>
            <w:r>
              <w:rPr>
                <w:rFonts w:ascii="Aptos" w:hAnsi="Aptos"/>
                <w:b w:val="0"/>
                <w:sz w:val="17"/>
              </w:rPr>
              <w:t>Retrieval omission/misattribution</w:t>
            </w:r>
          </w:p>
        </w:tc>
        <w:tc>
          <w:tcPr>
            <w:tcW w:type="dxa" w:w="3402"/>
            <w:vAlign w:val="center"/>
          </w:tcPr>
          <w:p>
            <w:pPr>
              <w:spacing w:after="0"/>
            </w:pPr>
            <w:r/>
            <w:r>
              <w:rPr>
                <w:rFonts w:ascii="Aptos" w:hAnsi="Aptos"/>
                <w:b w:val="0"/>
                <w:sz w:val="17"/>
              </w:rPr>
              <w:t>Relevant covenant, financial item or risk may be missed or linked incorrectly.</w:t>
            </w:r>
          </w:p>
        </w:tc>
        <w:tc>
          <w:tcPr>
            <w:tcW w:type="dxa" w:w="4422"/>
            <w:vAlign w:val="center"/>
          </w:tcPr>
          <w:p>
            <w:pPr>
              <w:spacing w:after="0"/>
            </w:pPr>
            <w:r/>
            <w:r>
              <w:rPr>
                <w:rFonts w:ascii="Aptos" w:hAnsi="Aptos"/>
                <w:b w:val="0"/>
                <w:sz w:val="17"/>
              </w:rPr>
              <w:t>Source coverage tests, authoritative-source hierarchy, gap prompts and manual reconciliation.</w:t>
            </w:r>
          </w:p>
        </w:tc>
      </w:tr>
      <w:tr>
        <w:tc>
          <w:tcPr>
            <w:tcW w:type="dxa" w:w="2381"/>
            <w:vAlign w:val="center"/>
            <w:shd w:fill="F3F6F8"/>
          </w:tcPr>
          <w:p>
            <w:pPr>
              <w:spacing w:after="0"/>
            </w:pPr>
            <w:r/>
            <w:r>
              <w:rPr>
                <w:rFonts w:ascii="Aptos" w:hAnsi="Aptos"/>
                <w:b w:val="0"/>
                <w:sz w:val="17"/>
              </w:rPr>
              <w:t>Stale/incomplete/conflicting data</w:t>
            </w:r>
          </w:p>
        </w:tc>
        <w:tc>
          <w:tcPr>
            <w:tcW w:type="dxa" w:w="3402"/>
            <w:vAlign w:val="center"/>
          </w:tcPr>
          <w:p>
            <w:pPr>
              <w:spacing w:after="0"/>
            </w:pPr>
            <w:r/>
            <w:r>
              <w:rPr>
                <w:rFonts w:ascii="Aptos" w:hAnsi="Aptos"/>
                <w:b w:val="0"/>
                <w:sz w:val="17"/>
              </w:rPr>
              <w:t>Outdated or inconsistent conclusions.</w:t>
            </w:r>
          </w:p>
        </w:tc>
        <w:tc>
          <w:tcPr>
            <w:tcW w:type="dxa" w:w="4422"/>
            <w:vAlign w:val="center"/>
          </w:tcPr>
          <w:p>
            <w:pPr>
              <w:spacing w:after="0"/>
            </w:pPr>
            <w:r/>
            <w:r>
              <w:rPr>
                <w:rFonts w:ascii="Aptos" w:hAnsi="Aptos"/>
                <w:b w:val="0"/>
                <w:sz w:val="17"/>
              </w:rPr>
              <w:t>Freshness indicators, system-of-record reconciliation and explicit unresolved-gap reporting.</w:t>
            </w:r>
          </w:p>
        </w:tc>
      </w:tr>
      <w:tr>
        <w:tc>
          <w:tcPr>
            <w:tcW w:type="dxa" w:w="2381"/>
            <w:vAlign w:val="center"/>
            <w:shd w:fill="F3F6F8"/>
          </w:tcPr>
          <w:p>
            <w:pPr>
              <w:spacing w:after="0"/>
            </w:pPr>
            <w:r/>
            <w:r>
              <w:rPr>
                <w:rFonts w:ascii="Aptos" w:hAnsi="Aptos"/>
                <w:b w:val="0"/>
                <w:sz w:val="17"/>
              </w:rPr>
              <w:t>Automation bias</w:t>
            </w:r>
          </w:p>
        </w:tc>
        <w:tc>
          <w:tcPr>
            <w:tcW w:type="dxa" w:w="3402"/>
            <w:vAlign w:val="center"/>
          </w:tcPr>
          <w:p>
            <w:pPr>
              <w:spacing w:after="0"/>
            </w:pPr>
            <w:r/>
            <w:r>
              <w:rPr>
                <w:rFonts w:ascii="Aptos" w:hAnsi="Aptos"/>
                <w:b w:val="0"/>
                <w:sz w:val="17"/>
              </w:rPr>
              <w:t>Reviewer over-relies on fluent output or confidence score.</w:t>
            </w:r>
          </w:p>
        </w:tc>
        <w:tc>
          <w:tcPr>
            <w:tcW w:type="dxa" w:w="4422"/>
            <w:vAlign w:val="center"/>
          </w:tcPr>
          <w:p>
            <w:pPr>
              <w:spacing w:after="0"/>
            </w:pPr>
            <w:r/>
            <w:r>
              <w:rPr>
                <w:rFonts w:ascii="Aptos" w:hAnsi="Aptos"/>
                <w:b w:val="0"/>
                <w:sz w:val="17"/>
              </w:rPr>
              <w:t>Training, warnings, adequate review time, mandatory evidence checks and independent approval.</w:t>
            </w:r>
          </w:p>
        </w:tc>
      </w:tr>
      <w:tr>
        <w:tc>
          <w:tcPr>
            <w:tcW w:type="dxa" w:w="2381"/>
            <w:vAlign w:val="center"/>
            <w:shd w:fill="F3F6F8"/>
          </w:tcPr>
          <w:p>
            <w:pPr>
              <w:spacing w:after="0"/>
            </w:pPr>
            <w:r/>
            <w:r>
              <w:rPr>
                <w:rFonts w:ascii="Aptos" w:hAnsi="Aptos"/>
                <w:b w:val="0"/>
                <w:sz w:val="17"/>
              </w:rPr>
              <w:t>Bias or proxy discrimination</w:t>
            </w:r>
          </w:p>
        </w:tc>
        <w:tc>
          <w:tcPr>
            <w:tcW w:type="dxa" w:w="3402"/>
            <w:vAlign w:val="center"/>
          </w:tcPr>
          <w:p>
            <w:pPr>
              <w:spacing w:after="0"/>
            </w:pPr>
            <w:r/>
            <w:r>
              <w:rPr>
                <w:rFonts w:ascii="Aptos" w:hAnsi="Aptos"/>
                <w:b w:val="0"/>
                <w:sz w:val="17"/>
              </w:rPr>
              <w:t>Different quality or adverse effect across persons/groups.</w:t>
            </w:r>
          </w:p>
        </w:tc>
        <w:tc>
          <w:tcPr>
            <w:tcW w:type="dxa" w:w="4422"/>
            <w:vAlign w:val="center"/>
          </w:tcPr>
          <w:p>
            <w:pPr>
              <w:spacing w:after="0"/>
            </w:pPr>
            <w:r/>
            <w:r>
              <w:rPr>
                <w:rFonts w:ascii="Aptos" w:hAnsi="Aptos"/>
                <w:b w:val="0"/>
                <w:sz w:val="17"/>
              </w:rPr>
              <w:t>Purpose/population definition, subgroup testing, prohibited-feature policy, escalation and monitoring.</w:t>
            </w:r>
          </w:p>
        </w:tc>
      </w:tr>
      <w:tr>
        <w:tc>
          <w:tcPr>
            <w:tcW w:type="dxa" w:w="2381"/>
            <w:vAlign w:val="center"/>
            <w:shd w:fill="F3F6F8"/>
          </w:tcPr>
          <w:p>
            <w:pPr>
              <w:spacing w:after="0"/>
            </w:pPr>
            <w:r/>
            <w:r>
              <w:rPr>
                <w:rFonts w:ascii="Aptos" w:hAnsi="Aptos"/>
                <w:b w:val="0"/>
                <w:sz w:val="17"/>
              </w:rPr>
              <w:t>Prompt injection / malicious documents</w:t>
            </w:r>
          </w:p>
        </w:tc>
        <w:tc>
          <w:tcPr>
            <w:tcW w:type="dxa" w:w="3402"/>
            <w:vAlign w:val="center"/>
          </w:tcPr>
          <w:p>
            <w:pPr>
              <w:spacing w:after="0"/>
            </w:pPr>
            <w:r/>
            <w:r>
              <w:rPr>
                <w:rFonts w:ascii="Aptos" w:hAnsi="Aptos"/>
                <w:b w:val="0"/>
                <w:sz w:val="17"/>
              </w:rPr>
              <w:t>Data leakage, instruction override or manipulated narrative.</w:t>
            </w:r>
          </w:p>
        </w:tc>
        <w:tc>
          <w:tcPr>
            <w:tcW w:type="dxa" w:w="4422"/>
            <w:vAlign w:val="center"/>
          </w:tcPr>
          <w:p>
            <w:pPr>
              <w:spacing w:after="0"/>
            </w:pPr>
            <w:r/>
            <w:r>
              <w:rPr>
                <w:rFonts w:ascii="Aptos" w:hAnsi="Aptos"/>
                <w:b w:val="0"/>
                <w:sz w:val="17"/>
              </w:rPr>
              <w:t>Content isolation, prompt hardening, file validation, supplier safeguards and adversarial testing.</w:t>
            </w:r>
          </w:p>
        </w:tc>
      </w:tr>
      <w:tr>
        <w:tc>
          <w:tcPr>
            <w:tcW w:type="dxa" w:w="2381"/>
            <w:vAlign w:val="center"/>
            <w:shd w:fill="F3F6F8"/>
          </w:tcPr>
          <w:p>
            <w:pPr>
              <w:spacing w:after="0"/>
            </w:pPr>
            <w:r/>
            <w:r>
              <w:rPr>
                <w:rFonts w:ascii="Aptos" w:hAnsi="Aptos"/>
                <w:b w:val="0"/>
                <w:sz w:val="17"/>
              </w:rPr>
              <w:t>Cross-deal source binding</w:t>
            </w:r>
          </w:p>
        </w:tc>
        <w:tc>
          <w:tcPr>
            <w:tcW w:type="dxa" w:w="3402"/>
            <w:vAlign w:val="center"/>
          </w:tcPr>
          <w:p>
            <w:pPr>
              <w:spacing w:after="0"/>
            </w:pPr>
            <w:r/>
            <w:r>
              <w:rPr>
                <w:rFonts w:ascii="Aptos" w:hAnsi="Aptos"/>
                <w:b w:val="0"/>
                <w:sz w:val="17"/>
              </w:rPr>
              <w:t>Confidential data exposure or contaminated output.</w:t>
            </w:r>
          </w:p>
        </w:tc>
        <w:tc>
          <w:tcPr>
            <w:tcW w:type="dxa" w:w="4422"/>
            <w:vAlign w:val="center"/>
          </w:tcPr>
          <w:p>
            <w:pPr>
              <w:spacing w:after="0"/>
            </w:pPr>
            <w:r/>
            <w:r>
              <w:rPr>
                <w:rFonts w:ascii="Aptos" w:hAnsi="Aptos"/>
                <w:b w:val="0"/>
                <w:sz w:val="17"/>
              </w:rPr>
              <w:t>Owner scoping and process lock; redesign for multi-worker safety before horizontal scaling.</w:t>
            </w:r>
          </w:p>
        </w:tc>
      </w:tr>
      <w:tr>
        <w:tc>
          <w:tcPr>
            <w:tcW w:type="dxa" w:w="2381"/>
            <w:vAlign w:val="center"/>
            <w:shd w:fill="F3F6F8"/>
          </w:tcPr>
          <w:p>
            <w:pPr>
              <w:spacing w:after="0"/>
            </w:pPr>
            <w:r/>
            <w:r>
              <w:rPr>
                <w:rFonts w:ascii="Aptos" w:hAnsi="Aptos"/>
                <w:b w:val="0"/>
                <w:sz w:val="17"/>
              </w:rPr>
              <w:t>Moderation outage fails open</w:t>
            </w:r>
          </w:p>
        </w:tc>
        <w:tc>
          <w:tcPr>
            <w:tcW w:type="dxa" w:w="3402"/>
            <w:vAlign w:val="center"/>
          </w:tcPr>
          <w:p>
            <w:pPr>
              <w:spacing w:after="0"/>
            </w:pPr>
            <w:r/>
            <w:r>
              <w:rPr>
                <w:rFonts w:ascii="Aptos" w:hAnsi="Aptos"/>
                <w:b w:val="0"/>
                <w:sz w:val="17"/>
              </w:rPr>
              <w:t>Unsafe custom content may reach generation.</w:t>
            </w:r>
          </w:p>
        </w:tc>
        <w:tc>
          <w:tcPr>
            <w:tcW w:type="dxa" w:w="4422"/>
            <w:vAlign w:val="center"/>
          </w:tcPr>
          <w:p>
            <w:pPr>
              <w:spacing w:after="0"/>
            </w:pPr>
            <w:r/>
            <w:r>
              <w:rPr>
                <w:rFonts w:ascii="Aptos" w:hAnsi="Aptos"/>
                <w:b w:val="0"/>
                <w:sz w:val="17"/>
              </w:rPr>
              <w:t>Adopt production fail-closed or approved compensating control.</w:t>
            </w:r>
          </w:p>
        </w:tc>
      </w:tr>
      <w:tr>
        <w:tc>
          <w:tcPr>
            <w:tcW w:type="dxa" w:w="2381"/>
            <w:vAlign w:val="center"/>
            <w:shd w:fill="F3F6F8"/>
          </w:tcPr>
          <w:p>
            <w:pPr>
              <w:spacing w:after="0"/>
            </w:pPr>
            <w:r/>
            <w:r>
              <w:rPr>
                <w:rFonts w:ascii="Aptos" w:hAnsi="Aptos"/>
                <w:b w:val="0"/>
                <w:sz w:val="17"/>
              </w:rPr>
              <w:t>URL retrieval / SSRF</w:t>
            </w:r>
          </w:p>
        </w:tc>
        <w:tc>
          <w:tcPr>
            <w:tcW w:type="dxa" w:w="3402"/>
            <w:vAlign w:val="center"/>
          </w:tcPr>
          <w:p>
            <w:pPr>
              <w:spacing w:after="0"/>
            </w:pPr>
            <w:r/>
            <w:r>
              <w:rPr>
                <w:rFonts w:ascii="Aptos" w:hAnsi="Aptos"/>
                <w:b w:val="0"/>
                <w:sz w:val="17"/>
              </w:rPr>
              <w:t>Internal network access, malicious content or legal noncompliance.</w:t>
            </w:r>
          </w:p>
        </w:tc>
        <w:tc>
          <w:tcPr>
            <w:tcW w:type="dxa" w:w="4422"/>
            <w:vAlign w:val="center"/>
          </w:tcPr>
          <w:p>
            <w:pPr>
              <w:spacing w:after="0"/>
            </w:pPr>
            <w:r/>
            <w:r>
              <w:rPr>
                <w:rFonts w:ascii="Aptos" w:hAnsi="Aptos"/>
                <w:b w:val="0"/>
                <w:sz w:val="17"/>
              </w:rPr>
              <w:t>Production network egress controls and explicit URL allow/deny policy.</w:t>
            </w:r>
          </w:p>
        </w:tc>
      </w:tr>
      <w:tr>
        <w:tc>
          <w:tcPr>
            <w:tcW w:type="dxa" w:w="2381"/>
            <w:vAlign w:val="center"/>
            <w:shd w:fill="F3F6F8"/>
          </w:tcPr>
          <w:p>
            <w:pPr>
              <w:spacing w:after="0"/>
            </w:pPr>
            <w:r/>
            <w:r>
              <w:rPr>
                <w:rFonts w:ascii="Aptos" w:hAnsi="Aptos"/>
                <w:b w:val="0"/>
                <w:sz w:val="17"/>
              </w:rPr>
              <w:t>Third-party model/service change</w:t>
            </w:r>
          </w:p>
        </w:tc>
        <w:tc>
          <w:tcPr>
            <w:tcW w:type="dxa" w:w="3402"/>
            <w:vAlign w:val="center"/>
          </w:tcPr>
          <w:p>
            <w:pPr>
              <w:spacing w:after="0"/>
            </w:pPr>
            <w:r/>
            <w:r>
              <w:rPr>
                <w:rFonts w:ascii="Aptos" w:hAnsi="Aptos"/>
                <w:b w:val="0"/>
                <w:sz w:val="17"/>
              </w:rPr>
              <w:t>Uncontrolled performance or behavior drift.</w:t>
            </w:r>
          </w:p>
        </w:tc>
        <w:tc>
          <w:tcPr>
            <w:tcW w:type="dxa" w:w="4422"/>
            <w:vAlign w:val="center"/>
          </w:tcPr>
          <w:p>
            <w:pPr>
              <w:spacing w:after="0"/>
            </w:pPr>
            <w:r/>
            <w:r>
              <w:rPr>
                <w:rFonts w:ascii="Aptos" w:hAnsi="Aptos"/>
                <w:b w:val="0"/>
                <w:sz w:val="17"/>
              </w:rPr>
              <w:t>Pin/record versions where possible, supplier change notices, revalidation and rollback.</w:t>
            </w:r>
          </w:p>
        </w:tc>
      </w:tr>
      <w:tr>
        <w:tc>
          <w:tcPr>
            <w:tcW w:type="dxa" w:w="2381"/>
            <w:vAlign w:val="center"/>
            <w:shd w:fill="F3F6F8"/>
          </w:tcPr>
          <w:p>
            <w:pPr>
              <w:spacing w:after="0"/>
            </w:pPr>
            <w:r/>
            <w:r>
              <w:rPr>
                <w:rFonts w:ascii="Aptos" w:hAnsi="Aptos"/>
                <w:b w:val="0"/>
                <w:sz w:val="17"/>
              </w:rPr>
              <w:t>Export/snapshot defect</w:t>
            </w:r>
          </w:p>
        </w:tc>
        <w:tc>
          <w:tcPr>
            <w:tcW w:type="dxa" w:w="3402"/>
            <w:vAlign w:val="center"/>
          </w:tcPr>
          <w:p>
            <w:pPr>
              <w:spacing w:after="0"/>
            </w:pPr>
            <w:r/>
            <w:r>
              <w:rPr>
                <w:rFonts w:ascii="Aptos" w:hAnsi="Aptos"/>
                <w:b w:val="0"/>
                <w:sz w:val="17"/>
              </w:rPr>
              <w:t>Wrong, mutable or sensitive content distributed.</w:t>
            </w:r>
          </w:p>
        </w:tc>
        <w:tc>
          <w:tcPr>
            <w:tcW w:type="dxa" w:w="4422"/>
            <w:vAlign w:val="center"/>
          </w:tcPr>
          <w:p>
            <w:pPr>
              <w:spacing w:after="0"/>
            </w:pPr>
            <w:r/>
            <w:r>
              <w:rPr>
                <w:rFonts w:ascii="Aptos" w:hAnsi="Aptos"/>
                <w:b w:val="0"/>
                <w:sz w:val="17"/>
              </w:rPr>
              <w:t>Content-stability tests, sensitive-data masking validation, approval and distribution controls.</w:t>
            </w:r>
          </w:p>
        </w:tc>
      </w:tr>
    </w:tbl>
    <w:p>
      <w:pPr>
        <w:spacing w:after="0"/>
      </w:pPr>
    </w:p>
    <w:p>
      <w:pPr>
        <w:pStyle w:val="Heading2"/>
      </w:pPr>
      <w:r>
        <w:t>7.3 Accuracy and subgroup performance</w:t>
      </w:r>
    </w:p>
    <w:tbl>
      <w:tblPr>
        <w:tblStyle w:val="TableGrid"/>
        <w:tblW w:type="auto" w:w="0"/>
        <w:tblLook w:firstColumn="1" w:firstRow="1" w:lastColumn="0" w:lastRow="0" w:noHBand="0" w:noVBand="1" w:val="04A0"/>
      </w:tblPr>
      <w:tblGrid>
        <w:gridCol w:w="10029"/>
      </w:tblGrid>
      <w:tr>
        <w:tc>
          <w:tcPr>
            <w:tcW w:type="dxa" w:w="10029"/>
            <w:shd w:fill="FCE4D6"/>
          </w:tcPr>
          <w:p>
            <w:r>
              <w:rPr>
                <w:b/>
              </w:rPr>
              <w:t xml:space="preserve">No validated accuracy claim: </w:t>
            </w:r>
            <w:r>
              <w:t>The repository describes claim counts and an optional confidence judge, but it does not provide signed accuracy, robustness, cybersecurity, fairness or subgroup performance results. No numerical claim should be used in marketing, instructions or conformity material until the protocol in Section 8 is executed and approved.</w:t>
            </w:r>
          </w:p>
        </w:tc>
      </w:tr>
    </w:tbl>
    <w:p>
      <w:pPr>
        <w:spacing w:after="0"/>
      </w:pPr>
    </w:p>
    <w:tbl>
      <w:tblPr>
        <w:tblStyle w:val="TableGrid"/>
        <w:tblW w:type="auto" w:w="0"/>
        <w:jc w:val="center"/>
        <w:tblLook w:firstColumn="1" w:firstRow="1" w:lastColumn="0" w:lastRow="0" w:noHBand="0" w:noVBand="1" w:val="04A0"/>
      </w:tblPr>
      <w:tblGrid>
        <w:gridCol w:w="2006"/>
        <w:gridCol w:w="2006"/>
        <w:gridCol w:w="2006"/>
        <w:gridCol w:w="2006"/>
        <w:gridCol w:w="2006"/>
      </w:tblGrid>
      <w:tr>
        <w:tc>
          <w:tcPr>
            <w:tcW w:type="dxa" w:w="2154"/>
            <w:vAlign w:val="center"/>
            <w:shd w:fill="17365D"/>
          </w:tcPr>
          <w:p>
            <w:pPr>
              <w:spacing w:after="0"/>
            </w:pPr>
            <w:r/>
            <w:r>
              <w:rPr>
                <w:rFonts w:ascii="Aptos" w:hAnsi="Aptos"/>
                <w:b/>
                <w:color w:val="FFFFFF"/>
                <w:sz w:val="17"/>
              </w:rPr>
              <w:t>Measure</w:t>
            </w:r>
          </w:p>
        </w:tc>
        <w:tc>
          <w:tcPr>
            <w:tcW w:type="dxa" w:w="3402"/>
            <w:vAlign w:val="center"/>
            <w:shd w:fill="17365D"/>
          </w:tcPr>
          <w:p>
            <w:pPr>
              <w:spacing w:after="0"/>
            </w:pPr>
            <w:r/>
            <w:r>
              <w:rPr>
                <w:rFonts w:ascii="Aptos" w:hAnsi="Aptos"/>
                <w:b/>
                <w:color w:val="FFFFFF"/>
                <w:sz w:val="17"/>
              </w:rPr>
              <w:t>Definition / acceptance criterion</w:t>
            </w:r>
          </w:p>
        </w:tc>
        <w:tc>
          <w:tcPr>
            <w:tcW w:type="dxa" w:w="1361"/>
            <w:vAlign w:val="center"/>
            <w:shd w:fill="17365D"/>
          </w:tcPr>
          <w:p>
            <w:pPr>
              <w:spacing w:after="0"/>
            </w:pPr>
            <w:r/>
            <w:r>
              <w:rPr>
                <w:rFonts w:ascii="Aptos" w:hAnsi="Aptos"/>
                <w:b/>
                <w:color w:val="FFFFFF"/>
                <w:sz w:val="17"/>
              </w:rPr>
              <w:t>Overall</w:t>
            </w:r>
          </w:p>
        </w:tc>
        <w:tc>
          <w:tcPr>
            <w:tcW w:type="dxa" w:w="1587"/>
            <w:vAlign w:val="center"/>
            <w:shd w:fill="17365D"/>
          </w:tcPr>
          <w:p>
            <w:pPr>
              <w:spacing w:after="0"/>
            </w:pPr>
            <w:r/>
            <w:r>
              <w:rPr>
                <w:rFonts w:ascii="Aptos" w:hAnsi="Aptos"/>
                <w:b/>
                <w:color w:val="FFFFFF"/>
                <w:sz w:val="17"/>
              </w:rPr>
              <w:t>By relevant group</w:t>
            </w:r>
          </w:p>
        </w:tc>
        <w:tc>
          <w:tcPr>
            <w:tcW w:type="dxa" w:w="1701"/>
            <w:vAlign w:val="center"/>
            <w:shd w:fill="17365D"/>
          </w:tcPr>
          <w:p>
            <w:pPr>
              <w:spacing w:after="0"/>
            </w:pPr>
            <w:r/>
            <w:r>
              <w:rPr>
                <w:rFonts w:ascii="Aptos" w:hAnsi="Aptos"/>
                <w:b/>
                <w:color w:val="FFFFFF"/>
                <w:sz w:val="17"/>
              </w:rPr>
              <w:t>Evidence</w:t>
            </w:r>
          </w:p>
        </w:tc>
      </w:tr>
      <w:tr>
        <w:tc>
          <w:tcPr>
            <w:tcW w:type="dxa" w:w="2154"/>
            <w:vAlign w:val="center"/>
            <w:shd w:fill="F3F6F8"/>
          </w:tcPr>
          <w:p>
            <w:pPr>
              <w:spacing w:after="0"/>
            </w:pPr>
            <w:r/>
            <w:r>
              <w:rPr>
                <w:rFonts w:ascii="Aptos" w:hAnsi="Aptos"/>
                <w:b w:val="0"/>
                <w:sz w:val="17"/>
              </w:rPr>
              <w:t>Material-claim factual precision</w:t>
            </w:r>
          </w:p>
        </w:tc>
        <w:tc>
          <w:tcPr>
            <w:tcW w:type="dxa" w:w="3402"/>
            <w:vAlign w:val="center"/>
          </w:tcPr>
          <w:p>
            <w:pPr>
              <w:spacing w:after="0"/>
            </w:pPr>
            <w:r/>
            <w:r>
              <w:rPr>
                <w:rFonts w:ascii="Aptos" w:hAnsi="Aptos"/>
                <w:b w:val="0"/>
                <w:sz w:val="17"/>
              </w:rPr>
              <w:t>Correct supported material claims / all material claims; threshold TBC</w:t>
            </w:r>
          </w:p>
        </w:tc>
        <w:tc>
          <w:tcPr>
            <w:tcW w:type="dxa" w:w="136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Signed test report</w:t>
            </w:r>
          </w:p>
        </w:tc>
      </w:tr>
      <w:tr>
        <w:tc>
          <w:tcPr>
            <w:tcW w:type="dxa" w:w="2154"/>
            <w:vAlign w:val="center"/>
            <w:shd w:fill="F3F6F8"/>
          </w:tcPr>
          <w:p>
            <w:pPr>
              <w:spacing w:after="0"/>
            </w:pPr>
            <w:r/>
            <w:r>
              <w:rPr>
                <w:rFonts w:ascii="Aptos" w:hAnsi="Aptos"/>
                <w:b w:val="0"/>
                <w:sz w:val="17"/>
              </w:rPr>
              <w:t>Citation entailment</w:t>
            </w:r>
          </w:p>
        </w:tc>
        <w:tc>
          <w:tcPr>
            <w:tcW w:type="dxa" w:w="3402"/>
            <w:vAlign w:val="center"/>
          </w:tcPr>
          <w:p>
            <w:pPr>
              <w:spacing w:after="0"/>
            </w:pPr>
            <w:r/>
            <w:r>
              <w:rPr>
                <w:rFonts w:ascii="Aptos" w:hAnsi="Aptos"/>
                <w:b w:val="0"/>
                <w:sz w:val="17"/>
              </w:rPr>
              <w:t>Citations that substantively support associated claim; threshold TBC</w:t>
            </w:r>
          </w:p>
        </w:tc>
        <w:tc>
          <w:tcPr>
            <w:tcW w:type="dxa" w:w="136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Labeled corpus</w:t>
            </w:r>
          </w:p>
        </w:tc>
      </w:tr>
      <w:tr>
        <w:tc>
          <w:tcPr>
            <w:tcW w:type="dxa" w:w="2154"/>
            <w:vAlign w:val="center"/>
            <w:shd w:fill="F3F6F8"/>
          </w:tcPr>
          <w:p>
            <w:pPr>
              <w:spacing w:after="0"/>
            </w:pPr>
            <w:r/>
            <w:r>
              <w:rPr>
                <w:rFonts w:ascii="Aptos" w:hAnsi="Aptos"/>
                <w:b w:val="0"/>
                <w:sz w:val="17"/>
              </w:rPr>
              <w:t>Source coverage</w:t>
            </w:r>
          </w:p>
        </w:tc>
        <w:tc>
          <w:tcPr>
            <w:tcW w:type="dxa" w:w="3402"/>
            <w:vAlign w:val="center"/>
          </w:tcPr>
          <w:p>
            <w:pPr>
              <w:spacing w:after="0"/>
            </w:pPr>
            <w:r/>
            <w:r>
              <w:rPr>
                <w:rFonts w:ascii="Aptos" w:hAnsi="Aptos"/>
                <w:b w:val="0"/>
                <w:sz w:val="17"/>
              </w:rPr>
              <w:t>Required evidence represented in output; threshold TBC</w:t>
            </w:r>
          </w:p>
        </w:tc>
        <w:tc>
          <w:tcPr>
            <w:tcW w:type="dxa" w:w="136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Section rubric</w:t>
            </w:r>
          </w:p>
        </w:tc>
      </w:tr>
      <w:tr>
        <w:tc>
          <w:tcPr>
            <w:tcW w:type="dxa" w:w="2154"/>
            <w:vAlign w:val="center"/>
            <w:shd w:fill="F3F6F8"/>
          </w:tcPr>
          <w:p>
            <w:pPr>
              <w:spacing w:after="0"/>
            </w:pPr>
            <w:r/>
            <w:r>
              <w:rPr>
                <w:rFonts w:ascii="Aptos" w:hAnsi="Aptos"/>
                <w:b w:val="0"/>
                <w:sz w:val="17"/>
              </w:rPr>
              <w:t>Unsupported-claim rate</w:t>
            </w:r>
          </w:p>
        </w:tc>
        <w:tc>
          <w:tcPr>
            <w:tcW w:type="dxa" w:w="3402"/>
            <w:vAlign w:val="center"/>
          </w:tcPr>
          <w:p>
            <w:pPr>
              <w:spacing w:after="0"/>
            </w:pPr>
            <w:r/>
            <w:r>
              <w:rPr>
                <w:rFonts w:ascii="Aptos" w:hAnsi="Aptos"/>
                <w:b w:val="0"/>
                <w:sz w:val="17"/>
              </w:rPr>
              <w:t>Unsupported material claims / material claims; maximum TBC</w:t>
            </w:r>
          </w:p>
        </w:tc>
        <w:tc>
          <w:tcPr>
            <w:tcW w:type="dxa" w:w="136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Evaluator + human audit</w:t>
            </w:r>
          </w:p>
        </w:tc>
      </w:tr>
      <w:tr>
        <w:tc>
          <w:tcPr>
            <w:tcW w:type="dxa" w:w="2154"/>
            <w:vAlign w:val="center"/>
            <w:shd w:fill="F3F6F8"/>
          </w:tcPr>
          <w:p>
            <w:pPr>
              <w:spacing w:after="0"/>
            </w:pPr>
            <w:r/>
            <w:r>
              <w:rPr>
                <w:rFonts w:ascii="Aptos" w:hAnsi="Aptos"/>
                <w:b w:val="0"/>
                <w:sz w:val="17"/>
              </w:rPr>
              <w:t>Reviewer correction rate</w:t>
            </w:r>
          </w:p>
        </w:tc>
        <w:tc>
          <w:tcPr>
            <w:tcW w:type="dxa" w:w="3402"/>
            <w:vAlign w:val="center"/>
          </w:tcPr>
          <w:p>
            <w:pPr>
              <w:spacing w:after="0"/>
            </w:pPr>
            <w:r/>
            <w:r>
              <w:rPr>
                <w:rFonts w:ascii="Aptos" w:hAnsi="Aptos"/>
                <w:b w:val="0"/>
                <w:sz w:val="17"/>
              </w:rPr>
              <w:t>Material corrections / reviewed outputs; alert threshold TBC</w:t>
            </w:r>
          </w:p>
        </w:tc>
        <w:tc>
          <w:tcPr>
            <w:tcW w:type="dxa" w:w="136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Production monitoring</w:t>
            </w:r>
          </w:p>
        </w:tc>
      </w:tr>
      <w:tr>
        <w:tc>
          <w:tcPr>
            <w:tcW w:type="dxa" w:w="2154"/>
            <w:vAlign w:val="center"/>
            <w:shd w:fill="F3F6F8"/>
          </w:tcPr>
          <w:p>
            <w:pPr>
              <w:spacing w:after="0"/>
            </w:pPr>
            <w:r/>
            <w:r>
              <w:rPr>
                <w:rFonts w:ascii="Aptos" w:hAnsi="Aptos"/>
                <w:b w:val="0"/>
                <w:sz w:val="17"/>
              </w:rPr>
              <w:t>Task completion / latency</w:t>
            </w:r>
          </w:p>
        </w:tc>
        <w:tc>
          <w:tcPr>
            <w:tcW w:type="dxa" w:w="3402"/>
            <w:vAlign w:val="center"/>
          </w:tcPr>
          <w:p>
            <w:pPr>
              <w:spacing w:after="0"/>
            </w:pPr>
            <w:r/>
            <w:r>
              <w:rPr>
                <w:rFonts w:ascii="Aptos" w:hAnsi="Aptos"/>
                <w:b w:val="0"/>
                <w:sz w:val="17"/>
              </w:rPr>
              <w:t>Successful generations and response latency; SLO TBC</w:t>
            </w:r>
          </w:p>
        </w:tc>
        <w:tc>
          <w:tcPr>
            <w:tcW w:type="dxa" w:w="136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Where relevant</w:t>
            </w:r>
          </w:p>
        </w:tc>
        <w:tc>
          <w:tcPr>
            <w:tcW w:type="dxa" w:w="1701"/>
            <w:vAlign w:val="center"/>
          </w:tcPr>
          <w:p>
            <w:pPr>
              <w:spacing w:after="0"/>
            </w:pPr>
            <w:r/>
            <w:r>
              <w:rPr>
                <w:rFonts w:ascii="Aptos" w:hAnsi="Aptos"/>
                <w:b w:val="0"/>
                <w:sz w:val="17"/>
              </w:rPr>
              <w:t>Telemetry/dashboard</w:t>
            </w:r>
          </w:p>
        </w:tc>
      </w:tr>
    </w:tbl>
    <w:p>
      <w:pPr>
        <w:spacing w:after="0"/>
      </w:pPr>
    </w:p>
    <w:p>
      <w:pPr>
        <w:pStyle w:val="Heading2"/>
      </w:pPr>
      <w:r>
        <w:t>7.4 Input specifications</w:t>
      </w:r>
    </w:p>
    <w:tbl>
      <w:tblPr>
        <w:tblStyle w:val="TableGrid"/>
        <w:tblW w:type="auto" w:w="0"/>
        <w:jc w:val="center"/>
        <w:tblLook w:firstColumn="1" w:firstRow="1" w:lastColumn="0" w:lastRow="0" w:noHBand="0" w:noVBand="1" w:val="04A0"/>
      </w:tblPr>
      <w:tblGrid>
        <w:gridCol w:w="3343"/>
        <w:gridCol w:w="3343"/>
        <w:gridCol w:w="3343"/>
      </w:tblGrid>
      <w:tr>
        <w:tc>
          <w:tcPr>
            <w:tcW w:type="dxa" w:w="1871"/>
            <w:vAlign w:val="center"/>
            <w:shd w:fill="17365D"/>
          </w:tcPr>
          <w:p>
            <w:pPr>
              <w:spacing w:after="0"/>
            </w:pPr>
            <w:r/>
            <w:r>
              <w:rPr>
                <w:rFonts w:ascii="Aptos" w:hAnsi="Aptos"/>
                <w:b/>
                <w:color w:val="FFFFFF"/>
                <w:sz w:val="17"/>
              </w:rPr>
              <w:t>Input</w:t>
            </w:r>
          </w:p>
        </w:tc>
        <w:tc>
          <w:tcPr>
            <w:tcW w:type="dxa" w:w="4932"/>
            <w:vAlign w:val="center"/>
            <w:shd w:fill="17365D"/>
          </w:tcPr>
          <w:p>
            <w:pPr>
              <w:spacing w:after="0"/>
            </w:pPr>
            <w:r/>
            <w:r>
              <w:rPr>
                <w:rFonts w:ascii="Aptos" w:hAnsi="Aptos"/>
                <w:b/>
                <w:color w:val="FFFFFF"/>
                <w:sz w:val="17"/>
              </w:rPr>
              <w:t>Required format / constraints</w:t>
            </w:r>
          </w:p>
        </w:tc>
        <w:tc>
          <w:tcPr>
            <w:tcW w:type="dxa" w:w="3402"/>
            <w:vAlign w:val="center"/>
            <w:shd w:fill="17365D"/>
          </w:tcPr>
          <w:p>
            <w:pPr>
              <w:spacing w:after="0"/>
            </w:pPr>
            <w:r/>
            <w:r>
              <w:rPr>
                <w:rFonts w:ascii="Aptos" w:hAnsi="Aptos"/>
                <w:b/>
                <w:color w:val="FFFFFF"/>
                <w:sz w:val="17"/>
              </w:rPr>
              <w:t>Quality responsibility</w:t>
            </w:r>
          </w:p>
        </w:tc>
      </w:tr>
      <w:tr>
        <w:tc>
          <w:tcPr>
            <w:tcW w:type="dxa" w:w="1871"/>
            <w:vAlign w:val="center"/>
            <w:shd w:fill="F3F6F8"/>
          </w:tcPr>
          <w:p>
            <w:pPr>
              <w:spacing w:after="0"/>
            </w:pPr>
            <w:r/>
            <w:r>
              <w:rPr>
                <w:rFonts w:ascii="Aptos" w:hAnsi="Aptos"/>
                <w:b w:val="0"/>
                <w:sz w:val="17"/>
              </w:rPr>
              <w:t>Deal fields</w:t>
            </w:r>
          </w:p>
        </w:tc>
        <w:tc>
          <w:tcPr>
            <w:tcW w:type="dxa" w:w="4932"/>
            <w:vAlign w:val="center"/>
          </w:tcPr>
          <w:p>
            <w:pPr>
              <w:spacing w:after="0"/>
            </w:pPr>
            <w:r/>
            <w:r>
              <w:rPr>
                <w:rFonts w:ascii="Aptos" w:hAnsi="Aptos"/>
                <w:b w:val="0"/>
                <w:sz w:val="17"/>
              </w:rPr>
              <w:t>Backend schemas; valid types/ranges; required items depend on workflow.</w:t>
            </w:r>
          </w:p>
        </w:tc>
        <w:tc>
          <w:tcPr>
            <w:tcW w:type="dxa" w:w="3402"/>
            <w:vAlign w:val="center"/>
          </w:tcPr>
          <w:p>
            <w:pPr>
              <w:spacing w:after="0"/>
            </w:pPr>
            <w:r/>
            <w:r>
              <w:rPr>
                <w:rFonts w:ascii="Aptos" w:hAnsi="Aptos"/>
                <w:b w:val="0"/>
                <w:sz w:val="17"/>
              </w:rPr>
              <w:t>RM enters and verifies against authoritative system.</w:t>
            </w:r>
          </w:p>
        </w:tc>
      </w:tr>
      <w:tr>
        <w:tc>
          <w:tcPr>
            <w:tcW w:type="dxa" w:w="1871"/>
            <w:vAlign w:val="center"/>
            <w:shd w:fill="F3F6F8"/>
          </w:tcPr>
          <w:p>
            <w:pPr>
              <w:spacing w:after="0"/>
            </w:pPr>
            <w:r/>
            <w:r>
              <w:rPr>
                <w:rFonts w:ascii="Aptos" w:hAnsi="Aptos"/>
                <w:b w:val="0"/>
                <w:sz w:val="17"/>
              </w:rPr>
              <w:t>Files</w:t>
            </w:r>
          </w:p>
        </w:tc>
        <w:tc>
          <w:tcPr>
            <w:tcW w:type="dxa" w:w="4932"/>
            <w:vAlign w:val="center"/>
          </w:tcPr>
          <w:p>
            <w:pPr>
              <w:spacing w:after="0"/>
            </w:pPr>
            <w:r/>
            <w:r>
              <w:rPr>
                <w:rFonts w:ascii="Aptos" w:hAnsi="Aptos"/>
                <w:b w:val="0"/>
                <w:sz w:val="17"/>
              </w:rPr>
              <w:t>PDF, DOC/DOCX, XLS/XLSX, PPTX, CSV, TXT, Markdown, JSON; extension and signature/content checked. Template/theme subsets are narrower.</w:t>
            </w:r>
          </w:p>
        </w:tc>
        <w:tc>
          <w:tcPr>
            <w:tcW w:type="dxa" w:w="3402"/>
            <w:vAlign w:val="center"/>
          </w:tcPr>
          <w:p>
            <w:pPr>
              <w:spacing w:after="0"/>
            </w:pPr>
            <w:r/>
            <w:r>
              <w:rPr>
                <w:rFonts w:ascii="Aptos" w:hAnsi="Aptos"/>
                <w:b w:val="0"/>
                <w:sz w:val="17"/>
              </w:rPr>
              <w:t>Uploader confirms authorization, relevance, freshness and absence of prohibited content.</w:t>
            </w:r>
          </w:p>
        </w:tc>
      </w:tr>
      <w:tr>
        <w:tc>
          <w:tcPr>
            <w:tcW w:type="dxa" w:w="1871"/>
            <w:vAlign w:val="center"/>
            <w:shd w:fill="F3F6F8"/>
          </w:tcPr>
          <w:p>
            <w:pPr>
              <w:spacing w:after="0"/>
            </w:pPr>
            <w:r/>
            <w:r>
              <w:rPr>
                <w:rFonts w:ascii="Aptos" w:hAnsi="Aptos"/>
                <w:b w:val="0"/>
                <w:sz w:val="17"/>
              </w:rPr>
              <w:t>URLs</w:t>
            </w:r>
          </w:p>
        </w:tc>
        <w:tc>
          <w:tcPr>
            <w:tcW w:type="dxa" w:w="4932"/>
            <w:vAlign w:val="center"/>
          </w:tcPr>
          <w:p>
            <w:pPr>
              <w:spacing w:after="0"/>
            </w:pPr>
            <w:r/>
            <w:r>
              <w:rPr>
                <w:rFonts w:ascii="Aptos" w:hAnsi="Aptos"/>
                <w:b w:val="0"/>
                <w:sz w:val="17"/>
              </w:rPr>
              <w:t>Up to ten section URLs; valid reachable public resources; production policy TBC.</w:t>
            </w:r>
          </w:p>
        </w:tc>
        <w:tc>
          <w:tcPr>
            <w:tcW w:type="dxa" w:w="3402"/>
            <w:vAlign w:val="center"/>
          </w:tcPr>
          <w:p>
            <w:pPr>
              <w:spacing w:after="0"/>
            </w:pPr>
            <w:r/>
            <w:r>
              <w:rPr>
                <w:rFonts w:ascii="Aptos" w:hAnsi="Aptos"/>
                <w:b w:val="0"/>
                <w:sz w:val="17"/>
              </w:rPr>
              <w:t>User selects authoritative sources and confirms terms/privacy.</w:t>
            </w:r>
          </w:p>
        </w:tc>
      </w:tr>
      <w:tr>
        <w:tc>
          <w:tcPr>
            <w:tcW w:type="dxa" w:w="1871"/>
            <w:vAlign w:val="center"/>
            <w:shd w:fill="F3F6F8"/>
          </w:tcPr>
          <w:p>
            <w:pPr>
              <w:spacing w:after="0"/>
            </w:pPr>
            <w:r/>
            <w:r>
              <w:rPr>
                <w:rFonts w:ascii="Aptos" w:hAnsi="Aptos"/>
                <w:b w:val="0"/>
                <w:sz w:val="17"/>
              </w:rPr>
              <w:t>Instructions/templates</w:t>
            </w:r>
          </w:p>
        </w:tc>
        <w:tc>
          <w:tcPr>
            <w:tcW w:type="dxa" w:w="4932"/>
            <w:vAlign w:val="center"/>
          </w:tcPr>
          <w:p>
            <w:pPr>
              <w:spacing w:after="0"/>
            </w:pPr>
            <w:r/>
            <w:r>
              <w:rPr>
                <w:rFonts w:ascii="Aptos" w:hAnsi="Aptos"/>
                <w:b w:val="0"/>
                <w:sz w:val="17"/>
              </w:rPr>
              <w:t>Relevant, lawful task instructions; moderated before generation.</w:t>
            </w:r>
          </w:p>
        </w:tc>
        <w:tc>
          <w:tcPr>
            <w:tcW w:type="dxa" w:w="3402"/>
            <w:vAlign w:val="center"/>
          </w:tcPr>
          <w:p>
            <w:pPr>
              <w:spacing w:after="0"/>
            </w:pPr>
            <w:r/>
            <w:r>
              <w:rPr>
                <w:rFonts w:ascii="Aptos" w:hAnsi="Aptos"/>
                <w:b w:val="0"/>
                <w:sz w:val="17"/>
              </w:rPr>
              <w:t>User avoids prompt injection, personal data and prohibited criteria.</w:t>
            </w:r>
          </w:p>
        </w:tc>
      </w:tr>
      <w:tr>
        <w:tc>
          <w:tcPr>
            <w:tcW w:type="dxa" w:w="1871"/>
            <w:vAlign w:val="center"/>
            <w:shd w:fill="F3F6F8"/>
          </w:tcPr>
          <w:p>
            <w:pPr>
              <w:spacing w:after="0"/>
            </w:pPr>
            <w:r/>
            <w:r>
              <w:rPr>
                <w:rFonts w:ascii="Aptos" w:hAnsi="Aptos"/>
                <w:b w:val="0"/>
                <w:sz w:val="17"/>
              </w:rPr>
              <w:t>MCP structured data</w:t>
            </w:r>
          </w:p>
        </w:tc>
        <w:tc>
          <w:tcPr>
            <w:tcW w:type="dxa" w:w="4932"/>
            <w:vAlign w:val="center"/>
          </w:tcPr>
          <w:p>
            <w:pPr>
              <w:spacing w:after="0"/>
            </w:pPr>
            <w:r/>
            <w:r>
              <w:rPr>
                <w:rFonts w:ascii="Aptos" w:hAnsi="Aptos"/>
                <w:b w:val="0"/>
                <w:sz w:val="17"/>
              </w:rPr>
              <w:t>Owner/company identifiers and section-relevant tables.</w:t>
            </w:r>
          </w:p>
        </w:tc>
        <w:tc>
          <w:tcPr>
            <w:tcW w:type="dxa" w:w="3402"/>
            <w:vAlign w:val="center"/>
          </w:tcPr>
          <w:p>
            <w:pPr>
              <w:spacing w:after="0"/>
            </w:pPr>
            <w:r/>
            <w:r>
              <w:rPr>
                <w:rFonts w:ascii="Aptos" w:hAnsi="Aptos"/>
                <w:b w:val="0"/>
                <w:sz w:val="17"/>
              </w:rPr>
              <w:t>Data owner confirms lineage, accuracy, completeness and freshness.</w:t>
            </w:r>
          </w:p>
        </w:tc>
      </w:tr>
    </w:tbl>
    <w:p>
      <w:pPr>
        <w:spacing w:after="0"/>
      </w:pPr>
    </w:p>
    <w:p>
      <w:pPr>
        <w:pStyle w:val="Heading1"/>
      </w:pPr>
      <w:r>
        <w:t>8. Evaluation, validation and testing</w:t>
      </w:r>
    </w:p>
    <w:p>
      <w:pPr>
        <w:pStyle w:val="Heading2"/>
      </w:pPr>
      <w:r>
        <w:t>8.1 Evaluation method</w:t>
      </w:r>
    </w:p>
    <w:p>
      <w:pPr>
        <w:pStyle w:val="ListNumber"/>
      </w:pPr>
      <w:r>
        <w:t>Freeze system, model, prompt, dependency and dataset versions; record environment and configuration hashes.</w:t>
      </w:r>
    </w:p>
    <w:p>
      <w:pPr>
        <w:pStyle w:val="ListNumber"/>
      </w:pPr>
      <w:r>
        <w:t>Create an independently labeled, representative test corpus covering all sixteen sections, industries, languages/jurisdictions in scope, incomplete/conflicting records, and defined relevant groups.</w:t>
      </w:r>
    </w:p>
    <w:p>
      <w:pPr>
        <w:pStyle w:val="ListNumber"/>
      </w:pPr>
      <w:r>
        <w:t>Define material claims, authoritative sources, expected citations, safe refusal/gap behavior and scoring rubrics before testing.</w:t>
      </w:r>
    </w:p>
    <w:p>
      <w:pPr>
        <w:pStyle w:val="ListNumber"/>
      </w:pPr>
      <w:r>
        <w:t>Run deterministic tests where possible and repeated sampling where outputs are stochastic; preserve inputs, outputs, retrieved evidence, model parameters, timestamps and event IDs.</w:t>
      </w:r>
    </w:p>
    <w:p>
      <w:pPr>
        <w:pStyle w:val="ListNumber"/>
      </w:pPr>
      <w:r>
        <w:t>Measure factuality, citation entailment/coverage, unsupported claims, robustness, cybersecurity, privacy leakage, discriminatory impacts, latency and failure rates.</w:t>
      </w:r>
    </w:p>
    <w:p>
      <w:pPr>
        <w:pStyle w:val="ListNumber"/>
      </w:pPr>
      <w:r>
        <w:t>Conduct human review by qualified credit analysts and independent adjudication; calculate inter-rater agreement.</w:t>
      </w:r>
    </w:p>
    <w:p>
      <w:pPr>
        <w:pStyle w:val="ListNumber"/>
      </w:pPr>
      <w:r>
        <w:t>Test misuse and adversarial cases: prompt injection, poisoned documents, malformed files, unauthorized access, cross-tenant access, SSRF, model/service outage and concurrency.</w:t>
      </w:r>
    </w:p>
    <w:p>
      <w:pPr>
        <w:pStyle w:val="ListNumber"/>
      </w:pPr>
      <w:r>
        <w:t>Compare results to pre-approved thresholds; record deviations, corrective actions, retest and residual-risk acceptance.</w:t>
      </w:r>
    </w:p>
    <w:p>
      <w:pPr>
        <w:pStyle w:val="ListNumber"/>
      </w:pPr>
      <w:r>
        <w:t>Date and sign the final test report by responsible technical, business, risk, security and compliance owners.</w:t>
      </w:r>
    </w:p>
    <w:p>
      <w:pPr>
        <w:pStyle w:val="Heading2"/>
      </w:pPr>
      <w:r>
        <w:t>8.2 Test matrix and acceptance record</w:t>
      </w:r>
    </w:p>
    <w:tbl>
      <w:tblPr>
        <w:tblStyle w:val="TableGrid"/>
        <w:tblW w:type="auto" w:w="0"/>
        <w:jc w:val="center"/>
        <w:tblLook w:firstColumn="1" w:firstRow="1" w:lastColumn="0" w:lastRow="0" w:noHBand="0" w:noVBand="1" w:val="04A0"/>
      </w:tblPr>
      <w:tblGrid>
        <w:gridCol w:w="2006"/>
        <w:gridCol w:w="2006"/>
        <w:gridCol w:w="2006"/>
        <w:gridCol w:w="2006"/>
        <w:gridCol w:w="2006"/>
      </w:tblGrid>
      <w:tr>
        <w:tc>
          <w:tcPr>
            <w:tcW w:type="dxa" w:w="1474"/>
            <w:vAlign w:val="center"/>
            <w:shd w:fill="17365D"/>
          </w:tcPr>
          <w:p>
            <w:pPr>
              <w:spacing w:after="0"/>
            </w:pPr>
            <w:r/>
            <w:r>
              <w:rPr>
                <w:rFonts w:ascii="Aptos" w:hAnsi="Aptos"/>
                <w:b/>
                <w:color w:val="FFFFFF"/>
                <w:sz w:val="17"/>
              </w:rPr>
              <w:t>Test domain</w:t>
            </w:r>
          </w:p>
        </w:tc>
        <w:tc>
          <w:tcPr>
            <w:tcW w:type="dxa" w:w="3288"/>
            <w:vAlign w:val="center"/>
            <w:shd w:fill="17365D"/>
          </w:tcPr>
          <w:p>
            <w:pPr>
              <w:spacing w:after="0"/>
            </w:pPr>
            <w:r/>
            <w:r>
              <w:rPr>
                <w:rFonts w:ascii="Aptos" w:hAnsi="Aptos"/>
                <w:b/>
                <w:color w:val="FFFFFF"/>
                <w:sz w:val="17"/>
              </w:rPr>
              <w:t>Minimum evidence</w:t>
            </w:r>
          </w:p>
        </w:tc>
        <w:tc>
          <w:tcPr>
            <w:tcW w:type="dxa" w:w="2324"/>
            <w:vAlign w:val="center"/>
            <w:shd w:fill="17365D"/>
          </w:tcPr>
          <w:p>
            <w:pPr>
              <w:spacing w:after="0"/>
            </w:pPr>
            <w:r/>
            <w:r>
              <w:rPr>
                <w:rFonts w:ascii="Aptos" w:hAnsi="Aptos"/>
                <w:b/>
                <w:color w:val="FFFFFF"/>
                <w:sz w:val="17"/>
              </w:rPr>
              <w:t>Acceptance threshold</w:t>
            </w:r>
          </w:p>
        </w:tc>
        <w:tc>
          <w:tcPr>
            <w:tcW w:type="dxa" w:w="1361"/>
            <w:vAlign w:val="center"/>
            <w:shd w:fill="17365D"/>
          </w:tcPr>
          <w:p>
            <w:pPr>
              <w:spacing w:after="0"/>
            </w:pPr>
            <w:r/>
            <w:r>
              <w:rPr>
                <w:rFonts w:ascii="Aptos" w:hAnsi="Aptos"/>
                <w:b/>
                <w:color w:val="FFFFFF"/>
                <w:sz w:val="17"/>
              </w:rPr>
              <w:t>Result</w:t>
            </w:r>
          </w:p>
        </w:tc>
        <w:tc>
          <w:tcPr>
            <w:tcW w:type="dxa" w:w="1757"/>
            <w:vAlign w:val="center"/>
            <w:shd w:fill="17365D"/>
          </w:tcPr>
          <w:p>
            <w:pPr>
              <w:spacing w:after="0"/>
            </w:pPr>
            <w:r/>
            <w:r>
              <w:rPr>
                <w:rFonts w:ascii="Aptos" w:hAnsi="Aptos"/>
                <w:b/>
                <w:color w:val="FFFFFF"/>
                <w:sz w:val="17"/>
              </w:rPr>
              <w:t>Owner / sign-off</w:t>
            </w:r>
          </w:p>
        </w:tc>
      </w:tr>
      <w:tr>
        <w:tc>
          <w:tcPr>
            <w:tcW w:type="dxa" w:w="1474"/>
            <w:vAlign w:val="center"/>
            <w:shd w:fill="F3F6F8"/>
          </w:tcPr>
          <w:p>
            <w:pPr>
              <w:spacing w:after="0"/>
            </w:pPr>
            <w:r/>
            <w:r>
              <w:rPr>
                <w:rFonts w:ascii="Aptos" w:hAnsi="Aptos"/>
                <w:b w:val="0"/>
                <w:sz w:val="17"/>
              </w:rPr>
              <w:t>Functional</w:t>
            </w:r>
          </w:p>
        </w:tc>
        <w:tc>
          <w:tcPr>
            <w:tcW w:type="dxa" w:w="3288"/>
            <w:vAlign w:val="center"/>
          </w:tcPr>
          <w:p>
            <w:pPr>
              <w:spacing w:after="0"/>
            </w:pPr>
            <w:r/>
            <w:r>
              <w:rPr>
                <w:rFonts w:ascii="Aptos" w:hAnsi="Aptos"/>
                <w:b w:val="0"/>
                <w:sz w:val="17"/>
              </w:rPr>
              <w:t>Role workflows, 16 sections, versions, snapshots and exports</w:t>
            </w:r>
          </w:p>
        </w:tc>
        <w:tc>
          <w:tcPr>
            <w:tcW w:type="dxa" w:w="2324"/>
            <w:vAlign w:val="center"/>
          </w:tcPr>
          <w:p>
            <w:pPr>
              <w:spacing w:after="0"/>
            </w:pPr>
            <w:r/>
            <w:r>
              <w:rPr>
                <w:rFonts w:ascii="Aptos" w:hAnsi="Aptos"/>
                <w:b w:val="0"/>
                <w:sz w:val="17"/>
              </w:rPr>
              <w:t>100% critical tests pass; other threshold TBC</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QA — TBC</w:t>
            </w:r>
          </w:p>
        </w:tc>
      </w:tr>
      <w:tr>
        <w:tc>
          <w:tcPr>
            <w:tcW w:type="dxa" w:w="1474"/>
            <w:vAlign w:val="center"/>
            <w:shd w:fill="F3F6F8"/>
          </w:tcPr>
          <w:p>
            <w:pPr>
              <w:spacing w:after="0"/>
            </w:pPr>
            <w:r/>
            <w:r>
              <w:rPr>
                <w:rFonts w:ascii="Aptos" w:hAnsi="Aptos"/>
                <w:b w:val="0"/>
                <w:sz w:val="17"/>
              </w:rPr>
              <w:t>Accuracy/grounding</w:t>
            </w:r>
          </w:p>
        </w:tc>
        <w:tc>
          <w:tcPr>
            <w:tcW w:type="dxa" w:w="3288"/>
            <w:vAlign w:val="center"/>
          </w:tcPr>
          <w:p>
            <w:pPr>
              <w:spacing w:after="0"/>
            </w:pPr>
            <w:r/>
            <w:r>
              <w:rPr>
                <w:rFonts w:ascii="Aptos" w:hAnsi="Aptos"/>
                <w:b w:val="0"/>
                <w:sz w:val="17"/>
              </w:rPr>
              <w:t>Labeled factuality and citation corpus</w:t>
            </w:r>
          </w:p>
        </w:tc>
        <w:tc>
          <w:tcPr>
            <w:tcW w:type="dxa" w:w="2324"/>
            <w:vAlign w:val="center"/>
          </w:tcPr>
          <w:p>
            <w:pPr>
              <w:spacing w:after="0"/>
            </w:pPr>
            <w:r/>
            <w:r>
              <w:rPr>
                <w:rFonts w:ascii="Aptos" w:hAnsi="Aptos"/>
                <w:b w:val="0"/>
                <w:sz w:val="17"/>
              </w:rPr>
              <w:t>TBC before execution</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Model Risk — TBC</w:t>
            </w:r>
          </w:p>
        </w:tc>
      </w:tr>
      <w:tr>
        <w:tc>
          <w:tcPr>
            <w:tcW w:type="dxa" w:w="1474"/>
            <w:vAlign w:val="center"/>
            <w:shd w:fill="F3F6F8"/>
          </w:tcPr>
          <w:p>
            <w:pPr>
              <w:spacing w:after="0"/>
            </w:pPr>
            <w:r/>
            <w:r>
              <w:rPr>
                <w:rFonts w:ascii="Aptos" w:hAnsi="Aptos"/>
                <w:b w:val="0"/>
                <w:sz w:val="17"/>
              </w:rPr>
              <w:t>Robustness</w:t>
            </w:r>
          </w:p>
        </w:tc>
        <w:tc>
          <w:tcPr>
            <w:tcW w:type="dxa" w:w="3288"/>
            <w:vAlign w:val="center"/>
          </w:tcPr>
          <w:p>
            <w:pPr>
              <w:spacing w:after="0"/>
            </w:pPr>
            <w:r/>
            <w:r>
              <w:rPr>
                <w:rFonts w:ascii="Aptos" w:hAnsi="Aptos"/>
                <w:b w:val="0"/>
                <w:sz w:val="17"/>
              </w:rPr>
              <w:t>Missing/conflicting/noisy inputs; retries; external-service failures</w:t>
            </w:r>
          </w:p>
        </w:tc>
        <w:tc>
          <w:tcPr>
            <w:tcW w:type="dxa" w:w="2324"/>
            <w:vAlign w:val="center"/>
          </w:tcPr>
          <w:p>
            <w:pPr>
              <w:spacing w:after="0"/>
            </w:pPr>
            <w:r/>
            <w:r>
              <w:rPr>
                <w:rFonts w:ascii="Aptos" w:hAnsi="Aptos"/>
                <w:b w:val="0"/>
                <w:sz w:val="17"/>
              </w:rPr>
              <w:t>No unsafe silent failure; thresholds TBC</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Engineering — TBC</w:t>
            </w:r>
          </w:p>
        </w:tc>
      </w:tr>
      <w:tr>
        <w:tc>
          <w:tcPr>
            <w:tcW w:type="dxa" w:w="1474"/>
            <w:vAlign w:val="center"/>
            <w:shd w:fill="F3F6F8"/>
          </w:tcPr>
          <w:p>
            <w:pPr>
              <w:spacing w:after="0"/>
            </w:pPr>
            <w:r/>
            <w:r>
              <w:rPr>
                <w:rFonts w:ascii="Aptos" w:hAnsi="Aptos"/>
                <w:b w:val="0"/>
                <w:sz w:val="17"/>
              </w:rPr>
              <w:t>Cybersecurity</w:t>
            </w:r>
          </w:p>
        </w:tc>
        <w:tc>
          <w:tcPr>
            <w:tcW w:type="dxa" w:w="3288"/>
            <w:vAlign w:val="center"/>
          </w:tcPr>
          <w:p>
            <w:pPr>
              <w:spacing w:after="0"/>
            </w:pPr>
            <w:r/>
            <w:r>
              <w:rPr>
                <w:rFonts w:ascii="Aptos" w:hAnsi="Aptos"/>
                <w:b w:val="0"/>
                <w:sz w:val="17"/>
              </w:rPr>
              <w:t>SAST/SCA, authz, upload, prompt injection, SSRF, secrets, pen test</w:t>
            </w:r>
          </w:p>
        </w:tc>
        <w:tc>
          <w:tcPr>
            <w:tcW w:type="dxa" w:w="2324"/>
            <w:vAlign w:val="center"/>
          </w:tcPr>
          <w:p>
            <w:pPr>
              <w:spacing w:after="0"/>
            </w:pPr>
            <w:r/>
            <w:r>
              <w:rPr>
                <w:rFonts w:ascii="Aptos" w:hAnsi="Aptos"/>
                <w:b w:val="0"/>
                <w:sz w:val="17"/>
              </w:rPr>
              <w:t>No open critical/high; exceptions approved</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Security — TBC</w:t>
            </w:r>
          </w:p>
        </w:tc>
      </w:tr>
      <w:tr>
        <w:tc>
          <w:tcPr>
            <w:tcW w:type="dxa" w:w="1474"/>
            <w:vAlign w:val="center"/>
            <w:shd w:fill="F3F6F8"/>
          </w:tcPr>
          <w:p>
            <w:pPr>
              <w:spacing w:after="0"/>
            </w:pPr>
            <w:r/>
            <w:r>
              <w:rPr>
                <w:rFonts w:ascii="Aptos" w:hAnsi="Aptos"/>
                <w:b w:val="0"/>
                <w:sz w:val="17"/>
              </w:rPr>
              <w:t>Privacy</w:t>
            </w:r>
          </w:p>
        </w:tc>
        <w:tc>
          <w:tcPr>
            <w:tcW w:type="dxa" w:w="3288"/>
            <w:vAlign w:val="center"/>
          </w:tcPr>
          <w:p>
            <w:pPr>
              <w:spacing w:after="0"/>
            </w:pPr>
            <w:r/>
            <w:r>
              <w:rPr>
                <w:rFonts w:ascii="Aptos" w:hAnsi="Aptos"/>
                <w:b w:val="0"/>
                <w:sz w:val="17"/>
              </w:rPr>
              <w:t>Data minimization, masking, access, exports, retention/deletion</w:t>
            </w:r>
          </w:p>
        </w:tc>
        <w:tc>
          <w:tcPr>
            <w:tcW w:type="dxa" w:w="2324"/>
            <w:vAlign w:val="center"/>
          </w:tcPr>
          <w:p>
            <w:pPr>
              <w:spacing w:after="0"/>
            </w:pPr>
            <w:r/>
            <w:r>
              <w:rPr>
                <w:rFonts w:ascii="Aptos" w:hAnsi="Aptos"/>
                <w:b w:val="0"/>
                <w:sz w:val="17"/>
              </w:rPr>
              <w:t>DPIA controls satisfied</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DPO — TBC</w:t>
            </w:r>
          </w:p>
        </w:tc>
      </w:tr>
      <w:tr>
        <w:tc>
          <w:tcPr>
            <w:tcW w:type="dxa" w:w="1474"/>
            <w:vAlign w:val="center"/>
            <w:shd w:fill="F3F6F8"/>
          </w:tcPr>
          <w:p>
            <w:pPr>
              <w:spacing w:after="0"/>
            </w:pPr>
            <w:r/>
            <w:r>
              <w:rPr>
                <w:rFonts w:ascii="Aptos" w:hAnsi="Aptos"/>
                <w:b w:val="0"/>
                <w:sz w:val="17"/>
              </w:rPr>
              <w:t>Fairness</w:t>
            </w:r>
          </w:p>
        </w:tc>
        <w:tc>
          <w:tcPr>
            <w:tcW w:type="dxa" w:w="3288"/>
            <w:vAlign w:val="center"/>
          </w:tcPr>
          <w:p>
            <w:pPr>
              <w:spacing w:after="0"/>
            </w:pPr>
            <w:r/>
            <w:r>
              <w:rPr>
                <w:rFonts w:ascii="Aptos" w:hAnsi="Aptos"/>
                <w:b w:val="0"/>
                <w:sz w:val="17"/>
              </w:rPr>
              <w:t>Performance and adverse-impact analysis by relevant group</w:t>
            </w:r>
          </w:p>
        </w:tc>
        <w:tc>
          <w:tcPr>
            <w:tcW w:type="dxa" w:w="2324"/>
            <w:vAlign w:val="center"/>
          </w:tcPr>
          <w:p>
            <w:pPr>
              <w:spacing w:after="0"/>
            </w:pPr>
            <w:r/>
            <w:r>
              <w:rPr>
                <w:rFonts w:ascii="Aptos" w:hAnsi="Aptos"/>
                <w:b w:val="0"/>
                <w:sz w:val="17"/>
              </w:rPr>
              <w:t>Metric and tolerance legally approved</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Compliance — TBC</w:t>
            </w:r>
          </w:p>
        </w:tc>
      </w:tr>
      <w:tr>
        <w:tc>
          <w:tcPr>
            <w:tcW w:type="dxa" w:w="1474"/>
            <w:vAlign w:val="center"/>
            <w:shd w:fill="F3F6F8"/>
          </w:tcPr>
          <w:p>
            <w:pPr>
              <w:spacing w:after="0"/>
            </w:pPr>
            <w:r/>
            <w:r>
              <w:rPr>
                <w:rFonts w:ascii="Aptos" w:hAnsi="Aptos"/>
                <w:b w:val="0"/>
                <w:sz w:val="17"/>
              </w:rPr>
              <w:t>Performance</w:t>
            </w:r>
          </w:p>
        </w:tc>
        <w:tc>
          <w:tcPr>
            <w:tcW w:type="dxa" w:w="3288"/>
            <w:vAlign w:val="center"/>
          </w:tcPr>
          <w:p>
            <w:pPr>
              <w:spacing w:after="0"/>
            </w:pPr>
            <w:r/>
            <w:r>
              <w:rPr>
                <w:rFonts w:ascii="Aptos" w:hAnsi="Aptos"/>
                <w:b w:val="0"/>
                <w:sz w:val="17"/>
              </w:rPr>
              <w:t>Load, latency, capacity, concurrency and recovery</w:t>
            </w:r>
          </w:p>
        </w:tc>
        <w:tc>
          <w:tcPr>
            <w:tcW w:type="dxa" w:w="2324"/>
            <w:vAlign w:val="center"/>
          </w:tcPr>
          <w:p>
            <w:pPr>
              <w:spacing w:after="0"/>
            </w:pPr>
            <w:r/>
            <w:r>
              <w:rPr>
                <w:rFonts w:ascii="Aptos" w:hAnsi="Aptos"/>
                <w:b w:val="0"/>
                <w:sz w:val="17"/>
              </w:rPr>
              <w:t>SLOs TBC</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SRE — TBC</w:t>
            </w:r>
          </w:p>
        </w:tc>
      </w:tr>
      <w:tr>
        <w:tc>
          <w:tcPr>
            <w:tcW w:type="dxa" w:w="1474"/>
            <w:vAlign w:val="center"/>
            <w:shd w:fill="F3F6F8"/>
          </w:tcPr>
          <w:p>
            <w:pPr>
              <w:spacing w:after="0"/>
            </w:pPr>
            <w:r/>
            <w:r>
              <w:rPr>
                <w:rFonts w:ascii="Aptos" w:hAnsi="Aptos"/>
                <w:b w:val="0"/>
                <w:sz w:val="17"/>
              </w:rPr>
              <w:t>Human factors</w:t>
            </w:r>
          </w:p>
        </w:tc>
        <w:tc>
          <w:tcPr>
            <w:tcW w:type="dxa" w:w="3288"/>
            <w:vAlign w:val="center"/>
          </w:tcPr>
          <w:p>
            <w:pPr>
              <w:spacing w:after="0"/>
            </w:pPr>
            <w:r/>
            <w:r>
              <w:rPr>
                <w:rFonts w:ascii="Aptos" w:hAnsi="Aptos"/>
                <w:b w:val="0"/>
                <w:sz w:val="17"/>
              </w:rPr>
              <w:t>Comprehension, source checking, override/escalation and automation bias</w:t>
            </w:r>
          </w:p>
        </w:tc>
        <w:tc>
          <w:tcPr>
            <w:tcW w:type="dxa" w:w="2324"/>
            <w:vAlign w:val="center"/>
          </w:tcPr>
          <w:p>
            <w:pPr>
              <w:spacing w:after="0"/>
            </w:pPr>
            <w:r/>
            <w:r>
              <w:rPr>
                <w:rFonts w:ascii="Aptos" w:hAnsi="Aptos"/>
                <w:b w:val="0"/>
                <w:sz w:val="17"/>
              </w:rPr>
              <w:t>Usability/competence criteria TBC</w:t>
            </w:r>
          </w:p>
        </w:tc>
        <w:tc>
          <w:tcPr>
            <w:tcW w:type="dxa" w:w="1361"/>
            <w:vAlign w:val="center"/>
          </w:tcPr>
          <w:p>
            <w:pPr>
              <w:spacing w:after="0"/>
            </w:pPr>
            <w:r/>
            <w:r>
              <w:rPr>
                <w:rFonts w:ascii="Aptos" w:hAnsi="Aptos"/>
                <w:b w:val="0"/>
                <w:sz w:val="17"/>
              </w:rPr>
              <w:t>Not supplied</w:t>
            </w:r>
          </w:p>
        </w:tc>
        <w:tc>
          <w:tcPr>
            <w:tcW w:type="dxa" w:w="1757"/>
            <w:vAlign w:val="center"/>
          </w:tcPr>
          <w:p>
            <w:pPr>
              <w:spacing w:after="0"/>
            </w:pPr>
            <w:r/>
            <w:r>
              <w:rPr>
                <w:rFonts w:ascii="Aptos" w:hAnsi="Aptos"/>
                <w:b w:val="0"/>
                <w:sz w:val="17"/>
              </w:rPr>
              <w:t>Business — TBC</w:t>
            </w:r>
          </w:p>
        </w:tc>
      </w:tr>
    </w:tbl>
    <w:p>
      <w:pPr>
        <w:spacing w:after="0"/>
      </w:pPr>
    </w:p>
    <w:p>
      <w:pPr>
        <w:pStyle w:val="Heading2"/>
      </w:pPr>
      <w:r>
        <w:t>8.3 Test log template</w:t>
      </w:r>
    </w:p>
    <w:tbl>
      <w:tblPr>
        <w:tblStyle w:val="TableGrid"/>
        <w:tblW w:type="auto" w:w="0"/>
        <w:jc w:val="center"/>
        <w:tblLook w:firstColumn="1" w:firstRow="1" w:lastColumn="0" w:lastRow="0" w:noHBand="0" w:noVBand="1" w:val="04A0"/>
      </w:tblPr>
      <w:tblGrid>
        <w:gridCol w:w="1254"/>
        <w:gridCol w:w="1254"/>
        <w:gridCol w:w="1254"/>
        <w:gridCol w:w="1254"/>
        <w:gridCol w:w="1254"/>
        <w:gridCol w:w="1254"/>
        <w:gridCol w:w="1254"/>
        <w:gridCol w:w="1254"/>
      </w:tblGrid>
      <w:tr>
        <w:tc>
          <w:tcPr>
            <w:tcW w:type="dxa" w:w="964"/>
            <w:vAlign w:val="center"/>
            <w:shd w:fill="17365D"/>
          </w:tcPr>
          <w:p>
            <w:pPr>
              <w:spacing w:after="0"/>
            </w:pPr>
            <w:r/>
            <w:r>
              <w:rPr>
                <w:rFonts w:ascii="Aptos" w:hAnsi="Aptos"/>
                <w:b/>
                <w:color w:val="FFFFFF"/>
                <w:sz w:val="15"/>
              </w:rPr>
              <w:t>Test ID</w:t>
            </w:r>
          </w:p>
        </w:tc>
        <w:tc>
          <w:tcPr>
            <w:tcW w:type="dxa" w:w="1361"/>
            <w:vAlign w:val="center"/>
            <w:shd w:fill="17365D"/>
          </w:tcPr>
          <w:p>
            <w:pPr>
              <w:spacing w:after="0"/>
            </w:pPr>
            <w:r/>
            <w:r>
              <w:rPr>
                <w:rFonts w:ascii="Aptos" w:hAnsi="Aptos"/>
                <w:b/>
                <w:color w:val="FFFFFF"/>
                <w:sz w:val="15"/>
              </w:rPr>
              <w:t>Date/build</w:t>
            </w:r>
          </w:p>
        </w:tc>
        <w:tc>
          <w:tcPr>
            <w:tcW w:type="dxa" w:w="1701"/>
            <w:vAlign w:val="center"/>
            <w:shd w:fill="17365D"/>
          </w:tcPr>
          <w:p>
            <w:pPr>
              <w:spacing w:after="0"/>
            </w:pPr>
            <w:r/>
            <w:r>
              <w:rPr>
                <w:rFonts w:ascii="Aptos" w:hAnsi="Aptos"/>
                <w:b/>
                <w:color w:val="FFFFFF"/>
                <w:sz w:val="15"/>
              </w:rPr>
              <w:t>Dataset/case</w:t>
            </w:r>
          </w:p>
        </w:tc>
        <w:tc>
          <w:tcPr>
            <w:tcW w:type="dxa" w:w="1417"/>
            <w:vAlign w:val="center"/>
            <w:shd w:fill="17365D"/>
          </w:tcPr>
          <w:p>
            <w:pPr>
              <w:spacing w:after="0"/>
            </w:pPr>
            <w:r/>
            <w:r>
              <w:rPr>
                <w:rFonts w:ascii="Aptos" w:hAnsi="Aptos"/>
                <w:b/>
                <w:color w:val="FFFFFF"/>
                <w:sz w:val="15"/>
              </w:rPr>
              <w:t>Expected</w:t>
            </w:r>
          </w:p>
        </w:tc>
        <w:tc>
          <w:tcPr>
            <w:tcW w:type="dxa" w:w="1417"/>
            <w:vAlign w:val="center"/>
            <w:shd w:fill="17365D"/>
          </w:tcPr>
          <w:p>
            <w:pPr>
              <w:spacing w:after="0"/>
            </w:pPr>
            <w:r/>
            <w:r>
              <w:rPr>
                <w:rFonts w:ascii="Aptos" w:hAnsi="Aptos"/>
                <w:b/>
                <w:color w:val="FFFFFF"/>
                <w:sz w:val="15"/>
              </w:rPr>
              <w:t>Actual</w:t>
            </w:r>
          </w:p>
        </w:tc>
        <w:tc>
          <w:tcPr>
            <w:tcW w:type="dxa" w:w="1020"/>
            <w:vAlign w:val="center"/>
            <w:shd w:fill="17365D"/>
          </w:tcPr>
          <w:p>
            <w:pPr>
              <w:spacing w:after="0"/>
            </w:pPr>
            <w:r/>
            <w:r>
              <w:rPr>
                <w:rFonts w:ascii="Aptos" w:hAnsi="Aptos"/>
                <w:b/>
                <w:color w:val="FFFFFF"/>
                <w:sz w:val="15"/>
              </w:rPr>
              <w:t>Pass/fail</w:t>
            </w:r>
          </w:p>
        </w:tc>
        <w:tc>
          <w:tcPr>
            <w:tcW w:type="dxa" w:w="1531"/>
            <w:vAlign w:val="center"/>
            <w:shd w:fill="17365D"/>
          </w:tcPr>
          <w:p>
            <w:pPr>
              <w:spacing w:after="0"/>
            </w:pPr>
            <w:r/>
            <w:r>
              <w:rPr>
                <w:rFonts w:ascii="Aptos" w:hAnsi="Aptos"/>
                <w:b/>
                <w:color w:val="FFFFFF"/>
                <w:sz w:val="15"/>
              </w:rPr>
              <w:t>Defect/evidence</w:t>
            </w:r>
          </w:p>
        </w:tc>
        <w:tc>
          <w:tcPr>
            <w:tcW w:type="dxa" w:w="1361"/>
            <w:vAlign w:val="center"/>
            <w:shd w:fill="17365D"/>
          </w:tcPr>
          <w:p>
            <w:pPr>
              <w:spacing w:after="0"/>
            </w:pPr>
            <w:r/>
            <w:r>
              <w:rPr>
                <w:rFonts w:ascii="Aptos" w:hAnsi="Aptos"/>
                <w:b/>
                <w:color w:val="FFFFFF"/>
                <w:sz w:val="15"/>
              </w:rPr>
              <w:t>Tester/signature</w:t>
            </w:r>
          </w:p>
        </w:tc>
      </w:tr>
      <w:tr>
        <w:tc>
          <w:tcPr>
            <w:tcW w:type="dxa" w:w="964"/>
            <w:vAlign w:val="center"/>
            <w:shd w:fill="F3F6F8"/>
          </w:tcPr>
          <w:p>
            <w:pPr>
              <w:spacing w:after="0"/>
            </w:pPr>
            <w:r/>
            <w:r>
              <w:rPr>
                <w:rFonts w:ascii="Aptos" w:hAnsi="Aptos"/>
                <w:b w:val="0"/>
                <w:sz w:val="15"/>
              </w:rPr>
              <w:t>TBC</w:t>
            </w:r>
          </w:p>
        </w:tc>
        <w:tc>
          <w:tcPr>
            <w:tcW w:type="dxa" w:w="1361"/>
            <w:vAlign w:val="center"/>
          </w:tcPr>
          <w:p>
            <w:pPr>
              <w:spacing w:after="0"/>
            </w:pPr>
            <w:r/>
            <w:r>
              <w:rPr>
                <w:rFonts w:ascii="Aptos" w:hAnsi="Aptos"/>
                <w:b w:val="0"/>
                <w:sz w:val="15"/>
              </w:rPr>
              <w:t>TBC</w:t>
            </w:r>
          </w:p>
        </w:tc>
        <w:tc>
          <w:tcPr>
            <w:tcW w:type="dxa" w:w="1701"/>
            <w:vAlign w:val="center"/>
          </w:tcPr>
          <w:p>
            <w:pPr>
              <w:spacing w:after="0"/>
            </w:pPr>
            <w:r/>
            <w:r>
              <w:rPr>
                <w:rFonts w:ascii="Aptos" w:hAnsi="Aptos"/>
                <w:b w:val="0"/>
                <w:sz w:val="15"/>
              </w:rPr>
              <w:t>TBC</w:t>
            </w:r>
          </w:p>
        </w:tc>
        <w:tc>
          <w:tcPr>
            <w:tcW w:type="dxa" w:w="1417"/>
            <w:vAlign w:val="center"/>
          </w:tcPr>
          <w:p>
            <w:pPr>
              <w:spacing w:after="0"/>
            </w:pPr>
            <w:r/>
            <w:r>
              <w:rPr>
                <w:rFonts w:ascii="Aptos" w:hAnsi="Aptos"/>
                <w:b w:val="0"/>
                <w:sz w:val="15"/>
              </w:rPr>
              <w:t>TBC</w:t>
            </w:r>
          </w:p>
        </w:tc>
        <w:tc>
          <w:tcPr>
            <w:tcW w:type="dxa" w:w="1417"/>
            <w:vAlign w:val="center"/>
          </w:tcPr>
          <w:p>
            <w:pPr>
              <w:spacing w:after="0"/>
            </w:pPr>
            <w:r/>
            <w:r>
              <w:rPr>
                <w:rFonts w:ascii="Aptos" w:hAnsi="Aptos"/>
                <w:b w:val="0"/>
                <w:sz w:val="15"/>
              </w:rPr>
              <w:t>TBC</w:t>
            </w:r>
          </w:p>
        </w:tc>
        <w:tc>
          <w:tcPr>
            <w:tcW w:type="dxa" w:w="1020"/>
            <w:vAlign w:val="center"/>
          </w:tcPr>
          <w:p>
            <w:pPr>
              <w:spacing w:after="0"/>
            </w:pPr>
            <w:r/>
            <w:r>
              <w:rPr>
                <w:rFonts w:ascii="Aptos" w:hAnsi="Aptos"/>
                <w:b w:val="0"/>
                <w:sz w:val="15"/>
              </w:rPr>
              <w:t>TBC</w:t>
            </w:r>
          </w:p>
        </w:tc>
        <w:tc>
          <w:tcPr>
            <w:tcW w:type="dxa" w:w="1531"/>
            <w:vAlign w:val="center"/>
          </w:tcPr>
          <w:p>
            <w:pPr>
              <w:spacing w:after="0"/>
            </w:pPr>
            <w:r/>
            <w:r>
              <w:rPr>
                <w:rFonts w:ascii="Aptos" w:hAnsi="Aptos"/>
                <w:b w:val="0"/>
                <w:sz w:val="15"/>
              </w:rPr>
              <w:t>TBC</w:t>
            </w:r>
          </w:p>
        </w:tc>
        <w:tc>
          <w:tcPr>
            <w:tcW w:type="dxa" w:w="1361"/>
            <w:vAlign w:val="center"/>
          </w:tcPr>
          <w:p>
            <w:pPr>
              <w:spacing w:after="0"/>
            </w:pPr>
            <w:r/>
            <w:r>
              <w:rPr>
                <w:rFonts w:ascii="Aptos" w:hAnsi="Aptos"/>
                <w:b w:val="0"/>
                <w:sz w:val="15"/>
              </w:rPr>
              <w:t>TBC</w:t>
            </w:r>
          </w:p>
        </w:tc>
      </w:tr>
      <w:tr>
        <w:tc>
          <w:tcPr>
            <w:tcW w:type="dxa" w:w="964"/>
            <w:vAlign w:val="center"/>
            <w:shd w:fill="F3F6F8"/>
          </w:tcPr>
          <w:p>
            <w:pPr>
              <w:spacing w:after="0"/>
            </w:pPr>
            <w:r/>
            <w:r>
              <w:rPr>
                <w:rFonts w:ascii="Aptos" w:hAnsi="Aptos"/>
                <w:b w:val="0"/>
                <w:sz w:val="15"/>
              </w:rPr>
              <w:t>TBC</w:t>
            </w:r>
          </w:p>
        </w:tc>
        <w:tc>
          <w:tcPr>
            <w:tcW w:type="dxa" w:w="1361"/>
            <w:vAlign w:val="center"/>
          </w:tcPr>
          <w:p>
            <w:pPr>
              <w:spacing w:after="0"/>
            </w:pPr>
            <w:r/>
            <w:r>
              <w:rPr>
                <w:rFonts w:ascii="Aptos" w:hAnsi="Aptos"/>
                <w:b w:val="0"/>
                <w:sz w:val="15"/>
              </w:rPr>
              <w:t>TBC</w:t>
            </w:r>
          </w:p>
        </w:tc>
        <w:tc>
          <w:tcPr>
            <w:tcW w:type="dxa" w:w="1701"/>
            <w:vAlign w:val="center"/>
          </w:tcPr>
          <w:p>
            <w:pPr>
              <w:spacing w:after="0"/>
            </w:pPr>
            <w:r/>
            <w:r>
              <w:rPr>
                <w:rFonts w:ascii="Aptos" w:hAnsi="Aptos"/>
                <w:b w:val="0"/>
                <w:sz w:val="15"/>
              </w:rPr>
              <w:t>TBC</w:t>
            </w:r>
          </w:p>
        </w:tc>
        <w:tc>
          <w:tcPr>
            <w:tcW w:type="dxa" w:w="1417"/>
            <w:vAlign w:val="center"/>
          </w:tcPr>
          <w:p>
            <w:pPr>
              <w:spacing w:after="0"/>
            </w:pPr>
            <w:r/>
            <w:r>
              <w:rPr>
                <w:rFonts w:ascii="Aptos" w:hAnsi="Aptos"/>
                <w:b w:val="0"/>
                <w:sz w:val="15"/>
              </w:rPr>
              <w:t>TBC</w:t>
            </w:r>
          </w:p>
        </w:tc>
        <w:tc>
          <w:tcPr>
            <w:tcW w:type="dxa" w:w="1417"/>
            <w:vAlign w:val="center"/>
          </w:tcPr>
          <w:p>
            <w:pPr>
              <w:spacing w:after="0"/>
            </w:pPr>
            <w:r/>
            <w:r>
              <w:rPr>
                <w:rFonts w:ascii="Aptos" w:hAnsi="Aptos"/>
                <w:b w:val="0"/>
                <w:sz w:val="15"/>
              </w:rPr>
              <w:t>TBC</w:t>
            </w:r>
          </w:p>
        </w:tc>
        <w:tc>
          <w:tcPr>
            <w:tcW w:type="dxa" w:w="1020"/>
            <w:vAlign w:val="center"/>
          </w:tcPr>
          <w:p>
            <w:pPr>
              <w:spacing w:after="0"/>
            </w:pPr>
            <w:r/>
            <w:r>
              <w:rPr>
                <w:rFonts w:ascii="Aptos" w:hAnsi="Aptos"/>
                <w:b w:val="0"/>
                <w:sz w:val="15"/>
              </w:rPr>
              <w:t>TBC</w:t>
            </w:r>
          </w:p>
        </w:tc>
        <w:tc>
          <w:tcPr>
            <w:tcW w:type="dxa" w:w="1531"/>
            <w:vAlign w:val="center"/>
          </w:tcPr>
          <w:p>
            <w:pPr>
              <w:spacing w:after="0"/>
            </w:pPr>
            <w:r/>
            <w:r>
              <w:rPr>
                <w:rFonts w:ascii="Aptos" w:hAnsi="Aptos"/>
                <w:b w:val="0"/>
                <w:sz w:val="15"/>
              </w:rPr>
              <w:t>TBC</w:t>
            </w:r>
          </w:p>
        </w:tc>
        <w:tc>
          <w:tcPr>
            <w:tcW w:type="dxa" w:w="1361"/>
            <w:vAlign w:val="center"/>
          </w:tcPr>
          <w:p>
            <w:pPr>
              <w:spacing w:after="0"/>
            </w:pPr>
            <w:r/>
            <w:r>
              <w:rPr>
                <w:rFonts w:ascii="Aptos" w:hAnsi="Aptos"/>
                <w:b w:val="0"/>
                <w:sz w:val="15"/>
              </w:rPr>
              <w:t>TBC</w:t>
            </w:r>
          </w:p>
        </w:tc>
      </w:tr>
    </w:tbl>
    <w:p>
      <w:pPr>
        <w:spacing w:after="0"/>
      </w:pPr>
    </w:p>
    <w:p>
      <w:pPr>
        <w:pStyle w:val="Heading1"/>
      </w:pPr>
      <w:r>
        <w:t>9. Risk management system</w:t>
      </w:r>
    </w:p>
    <w:p>
      <w:r>
        <w:t>The provider must operate an iterative lifecycle risk process, not merely maintain a static list. Risks must be identified for intended use and reasonably foreseeable misuse, evaluated before release, reduced by design and operational controls, tested, accepted by accountable owners and continuously reviewed using post-market evidence.</w:t>
      </w:r>
    </w:p>
    <w:p>
      <w:pPr>
        <w:pStyle w:val="Heading2"/>
      </w:pPr>
      <w:r>
        <w:t>9.1 Risk process</w:t>
      </w:r>
    </w:p>
    <w:p>
      <w:pPr>
        <w:pStyle w:val="ListNumber"/>
      </w:pPr>
      <w:r>
        <w:t>Establish context: intended use, populations, roles, jurisdictions, dependencies and risk criteria.</w:t>
      </w:r>
    </w:p>
    <w:p>
      <w:pPr>
        <w:pStyle w:val="ListNumber"/>
      </w:pPr>
      <w:r>
        <w:t>Identify hazards and fundamental-rights, safety, privacy, security, financial, operational and reputational harms.</w:t>
      </w:r>
    </w:p>
    <w:p>
      <w:pPr>
        <w:pStyle w:val="ListNumber"/>
      </w:pPr>
      <w:r>
        <w:t>Estimate severity and likelihood before controls; identify affected persons and exposure paths.</w:t>
      </w:r>
    </w:p>
    <w:p>
      <w:pPr>
        <w:pStyle w:val="ListNumber"/>
      </w:pPr>
      <w:r>
        <w:t>Apply controls in order: eliminate/restrict use, technical safeguards, human oversight, information/training.</w:t>
      </w:r>
    </w:p>
    <w:p>
      <w:pPr>
        <w:pStyle w:val="ListNumber"/>
      </w:pPr>
      <w:r>
        <w:t>Validate control effectiveness and assess residual risk; obtain named acceptance or prohibit release.</w:t>
      </w:r>
    </w:p>
    <w:p>
      <w:pPr>
        <w:pStyle w:val="ListNumber"/>
      </w:pPr>
      <w:r>
        <w:t>Monitor incidents, complaints, overrides, drift, subgroup performance, supplier changes and control failures.</w:t>
      </w:r>
    </w:p>
    <w:p>
      <w:pPr>
        <w:pStyle w:val="ListNumber"/>
      </w:pPr>
      <w:r>
        <w:t>Reassess after significant change, incident, threshold breach or scheduled review.</w:t>
      </w:r>
    </w:p>
    <w:p>
      <w:pPr>
        <w:pStyle w:val="Heading2"/>
      </w:pPr>
      <w:r>
        <w:t>9.2 Initial risk register</w:t>
      </w:r>
    </w:p>
    <w:tbl>
      <w:tblPr>
        <w:tblStyle w:val="TableGrid"/>
        <w:tblW w:type="auto" w:w="0"/>
        <w:jc w:val="center"/>
        <w:tblLook w:firstColumn="1" w:firstRow="1" w:lastColumn="0" w:lastRow="0" w:noHBand="0" w:noVBand="1" w:val="04A0"/>
      </w:tblPr>
      <w:tblGrid>
        <w:gridCol w:w="1671"/>
        <w:gridCol w:w="1671"/>
        <w:gridCol w:w="1671"/>
        <w:gridCol w:w="1671"/>
        <w:gridCol w:w="1671"/>
        <w:gridCol w:w="1671"/>
      </w:tblGrid>
      <w:tr>
        <w:tc>
          <w:tcPr>
            <w:tcW w:type="dxa" w:w="680"/>
            <w:vAlign w:val="center"/>
            <w:shd w:fill="17365D"/>
          </w:tcPr>
          <w:p>
            <w:pPr>
              <w:spacing w:after="0"/>
            </w:pPr>
            <w:r/>
            <w:r>
              <w:rPr>
                <w:rFonts w:ascii="Aptos" w:hAnsi="Aptos"/>
                <w:b/>
                <w:color w:val="FFFFFF"/>
                <w:sz w:val="15"/>
              </w:rPr>
              <w:t>ID</w:t>
            </w:r>
          </w:p>
        </w:tc>
        <w:tc>
          <w:tcPr>
            <w:tcW w:type="dxa" w:w="2721"/>
            <w:vAlign w:val="center"/>
            <w:shd w:fill="17365D"/>
          </w:tcPr>
          <w:p>
            <w:pPr>
              <w:spacing w:after="0"/>
            </w:pPr>
            <w:r/>
            <w:r>
              <w:rPr>
                <w:rFonts w:ascii="Aptos" w:hAnsi="Aptos"/>
                <w:b/>
                <w:color w:val="FFFFFF"/>
                <w:sz w:val="15"/>
              </w:rPr>
              <w:t>Risk</w:t>
            </w:r>
          </w:p>
        </w:tc>
        <w:tc>
          <w:tcPr>
            <w:tcW w:type="dxa" w:w="1020"/>
            <w:vAlign w:val="center"/>
            <w:shd w:fill="17365D"/>
          </w:tcPr>
          <w:p>
            <w:pPr>
              <w:spacing w:after="0"/>
            </w:pPr>
            <w:r/>
            <w:r>
              <w:rPr>
                <w:rFonts w:ascii="Aptos" w:hAnsi="Aptos"/>
                <w:b/>
                <w:color w:val="FFFFFF"/>
                <w:sz w:val="15"/>
              </w:rPr>
              <w:t>Inherent</w:t>
            </w:r>
          </w:p>
        </w:tc>
        <w:tc>
          <w:tcPr>
            <w:tcW w:type="dxa" w:w="2835"/>
            <w:vAlign w:val="center"/>
            <w:shd w:fill="17365D"/>
          </w:tcPr>
          <w:p>
            <w:pPr>
              <w:spacing w:after="0"/>
            </w:pPr>
            <w:r/>
            <w:r>
              <w:rPr>
                <w:rFonts w:ascii="Aptos" w:hAnsi="Aptos"/>
                <w:b/>
                <w:color w:val="FFFFFF"/>
                <w:sz w:val="15"/>
              </w:rPr>
              <w:t>Existing control</w:t>
            </w:r>
          </w:p>
        </w:tc>
        <w:tc>
          <w:tcPr>
            <w:tcW w:type="dxa" w:w="907"/>
            <w:vAlign w:val="center"/>
            <w:shd w:fill="17365D"/>
          </w:tcPr>
          <w:p>
            <w:pPr>
              <w:spacing w:after="0"/>
            </w:pPr>
            <w:r/>
            <w:r>
              <w:rPr>
                <w:rFonts w:ascii="Aptos" w:hAnsi="Aptos"/>
                <w:b/>
                <w:color w:val="FFFFFF"/>
                <w:sz w:val="15"/>
              </w:rPr>
              <w:t>Residual</w:t>
            </w:r>
          </w:p>
        </w:tc>
        <w:tc>
          <w:tcPr>
            <w:tcW w:type="dxa" w:w="2608"/>
            <w:vAlign w:val="center"/>
            <w:shd w:fill="17365D"/>
          </w:tcPr>
          <w:p>
            <w:pPr>
              <w:spacing w:after="0"/>
            </w:pPr>
            <w:r/>
            <w:r>
              <w:rPr>
                <w:rFonts w:ascii="Aptos" w:hAnsi="Aptos"/>
                <w:b/>
                <w:color w:val="FFFFFF"/>
                <w:sz w:val="15"/>
              </w:rPr>
              <w:t>Required treatment / owner</w:t>
            </w:r>
          </w:p>
        </w:tc>
      </w:tr>
      <w:tr>
        <w:tc>
          <w:tcPr>
            <w:tcW w:type="dxa" w:w="680"/>
            <w:vAlign w:val="center"/>
            <w:shd w:fill="F3F6F8"/>
          </w:tcPr>
          <w:p>
            <w:pPr>
              <w:spacing w:after="0"/>
            </w:pPr>
            <w:r/>
            <w:r>
              <w:rPr>
                <w:rFonts w:ascii="Aptos" w:hAnsi="Aptos"/>
                <w:b w:val="0"/>
                <w:sz w:val="15"/>
              </w:rPr>
              <w:t>R-01</w:t>
            </w:r>
          </w:p>
        </w:tc>
        <w:tc>
          <w:tcPr>
            <w:tcW w:type="dxa" w:w="2721"/>
            <w:vAlign w:val="center"/>
          </w:tcPr>
          <w:p>
            <w:pPr>
              <w:spacing w:after="0"/>
            </w:pPr>
            <w:r/>
            <w:r>
              <w:rPr>
                <w:rFonts w:ascii="Aptos" w:hAnsi="Aptos"/>
                <w:b w:val="0"/>
                <w:sz w:val="15"/>
              </w:rPr>
              <w:t>Unsupported or incorrect narrative influences credit judgment</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RAG, sources, claim analysis, human review</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Validate factuality thresholds; Model Risk</w:t>
            </w:r>
          </w:p>
        </w:tc>
      </w:tr>
      <w:tr>
        <w:tc>
          <w:tcPr>
            <w:tcW w:type="dxa" w:w="680"/>
            <w:vAlign w:val="center"/>
            <w:shd w:fill="F3F6F8"/>
          </w:tcPr>
          <w:p>
            <w:pPr>
              <w:spacing w:after="0"/>
            </w:pPr>
            <w:r/>
            <w:r>
              <w:rPr>
                <w:rFonts w:ascii="Aptos" w:hAnsi="Aptos"/>
                <w:b w:val="0"/>
                <w:sz w:val="15"/>
              </w:rPr>
              <w:t>R-02</w:t>
            </w:r>
          </w:p>
        </w:tc>
        <w:tc>
          <w:tcPr>
            <w:tcW w:type="dxa" w:w="2721"/>
            <w:vAlign w:val="center"/>
          </w:tcPr>
          <w:p>
            <w:pPr>
              <w:spacing w:after="0"/>
            </w:pPr>
            <w:r/>
            <w:r>
              <w:rPr>
                <w:rFonts w:ascii="Aptos" w:hAnsi="Aptos"/>
                <w:b w:val="0"/>
                <w:sz w:val="15"/>
              </w:rPr>
              <w:t>Discriminatory output or unlawful proxy use</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Professional review; role workflow</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Define groups/features; fairness and legal testing; Compliance</w:t>
            </w:r>
          </w:p>
        </w:tc>
      </w:tr>
      <w:tr>
        <w:tc>
          <w:tcPr>
            <w:tcW w:type="dxa" w:w="680"/>
            <w:vAlign w:val="center"/>
            <w:shd w:fill="F3F6F8"/>
          </w:tcPr>
          <w:p>
            <w:pPr>
              <w:spacing w:after="0"/>
            </w:pPr>
            <w:r/>
            <w:r>
              <w:rPr>
                <w:rFonts w:ascii="Aptos" w:hAnsi="Aptos"/>
                <w:b w:val="0"/>
                <w:sz w:val="15"/>
              </w:rPr>
              <w:t>R-03</w:t>
            </w:r>
          </w:p>
        </w:tc>
        <w:tc>
          <w:tcPr>
            <w:tcW w:type="dxa" w:w="2721"/>
            <w:vAlign w:val="center"/>
          </w:tcPr>
          <w:p>
            <w:pPr>
              <w:spacing w:after="0"/>
            </w:pPr>
            <w:r/>
            <w:r>
              <w:rPr>
                <w:rFonts w:ascii="Aptos" w:hAnsi="Aptos"/>
                <w:b w:val="0"/>
                <w:sz w:val="15"/>
              </w:rPr>
              <w:t>Confidential or personal data disclosed to wrong user/service</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Owner scoping, RBAC, HTTP-only sessions</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DPIA, supplier terms, DLP, tenancy tests; DPO/Security</w:t>
            </w:r>
          </w:p>
        </w:tc>
      </w:tr>
      <w:tr>
        <w:tc>
          <w:tcPr>
            <w:tcW w:type="dxa" w:w="680"/>
            <w:vAlign w:val="center"/>
            <w:shd w:fill="F3F6F8"/>
          </w:tcPr>
          <w:p>
            <w:pPr>
              <w:spacing w:after="0"/>
            </w:pPr>
            <w:r/>
            <w:r>
              <w:rPr>
                <w:rFonts w:ascii="Aptos" w:hAnsi="Aptos"/>
                <w:b w:val="0"/>
                <w:sz w:val="15"/>
              </w:rPr>
              <w:t>R-04</w:t>
            </w:r>
          </w:p>
        </w:tc>
        <w:tc>
          <w:tcPr>
            <w:tcW w:type="dxa" w:w="2721"/>
            <w:vAlign w:val="center"/>
          </w:tcPr>
          <w:p>
            <w:pPr>
              <w:spacing w:after="0"/>
            </w:pPr>
            <w:r/>
            <w:r>
              <w:rPr>
                <w:rFonts w:ascii="Aptos" w:hAnsi="Aptos"/>
                <w:b w:val="0"/>
                <w:sz w:val="15"/>
              </w:rPr>
              <w:t>Prompt injection or malicious source manipulates output</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Input moderation and file validation</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Adversarial testing, content boundaries; Security</w:t>
            </w:r>
          </w:p>
        </w:tc>
      </w:tr>
      <w:tr>
        <w:tc>
          <w:tcPr>
            <w:tcW w:type="dxa" w:w="680"/>
            <w:vAlign w:val="center"/>
            <w:shd w:fill="F3F6F8"/>
          </w:tcPr>
          <w:p>
            <w:pPr>
              <w:spacing w:after="0"/>
            </w:pPr>
            <w:r/>
            <w:r>
              <w:rPr>
                <w:rFonts w:ascii="Aptos" w:hAnsi="Aptos"/>
                <w:b w:val="0"/>
                <w:sz w:val="15"/>
              </w:rPr>
              <w:t>R-05</w:t>
            </w:r>
          </w:p>
        </w:tc>
        <w:tc>
          <w:tcPr>
            <w:tcW w:type="dxa" w:w="2721"/>
            <w:vAlign w:val="center"/>
          </w:tcPr>
          <w:p>
            <w:pPr>
              <w:spacing w:after="0"/>
            </w:pPr>
            <w:r/>
            <w:r>
              <w:rPr>
                <w:rFonts w:ascii="Aptos" w:hAnsi="Aptos"/>
                <w:b w:val="0"/>
                <w:sz w:val="15"/>
              </w:rPr>
              <w:t>Cross-deal library contamination under concurrency</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Process-level lock</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Multi-worker-safe design before scaling; Engineering</w:t>
            </w:r>
          </w:p>
        </w:tc>
      </w:tr>
      <w:tr>
        <w:tc>
          <w:tcPr>
            <w:tcW w:type="dxa" w:w="680"/>
            <w:vAlign w:val="center"/>
            <w:shd w:fill="F3F6F8"/>
          </w:tcPr>
          <w:p>
            <w:pPr>
              <w:spacing w:after="0"/>
            </w:pPr>
            <w:r/>
            <w:r>
              <w:rPr>
                <w:rFonts w:ascii="Aptos" w:hAnsi="Aptos"/>
                <w:b w:val="0"/>
                <w:sz w:val="15"/>
              </w:rPr>
              <w:t>R-06</w:t>
            </w:r>
          </w:p>
        </w:tc>
        <w:tc>
          <w:tcPr>
            <w:tcW w:type="dxa" w:w="2721"/>
            <w:vAlign w:val="center"/>
          </w:tcPr>
          <w:p>
            <w:pPr>
              <w:spacing w:after="0"/>
            </w:pPr>
            <w:r/>
            <w:r>
              <w:rPr>
                <w:rFonts w:ascii="Aptos" w:hAnsi="Aptos"/>
                <w:b w:val="0"/>
                <w:sz w:val="15"/>
              </w:rPr>
              <w:t>Stale/incomplete data masks borrower risk</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Multiple sources and displayed gaps</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Freshness/reconciliation rules; Data Owner</w:t>
            </w:r>
          </w:p>
        </w:tc>
      </w:tr>
      <w:tr>
        <w:tc>
          <w:tcPr>
            <w:tcW w:type="dxa" w:w="680"/>
            <w:vAlign w:val="center"/>
            <w:shd w:fill="F3F6F8"/>
          </w:tcPr>
          <w:p>
            <w:pPr>
              <w:spacing w:after="0"/>
            </w:pPr>
            <w:r/>
            <w:r>
              <w:rPr>
                <w:rFonts w:ascii="Aptos" w:hAnsi="Aptos"/>
                <w:b w:val="0"/>
                <w:sz w:val="15"/>
              </w:rPr>
              <w:t>R-07</w:t>
            </w:r>
          </w:p>
        </w:tc>
        <w:tc>
          <w:tcPr>
            <w:tcW w:type="dxa" w:w="2721"/>
            <w:vAlign w:val="center"/>
          </w:tcPr>
          <w:p>
            <w:pPr>
              <w:spacing w:after="0"/>
            </w:pPr>
            <w:r/>
            <w:r>
              <w:rPr>
                <w:rFonts w:ascii="Aptos" w:hAnsi="Aptos"/>
                <w:b w:val="0"/>
                <w:sz w:val="15"/>
              </w:rPr>
              <w:t>Automation bias / misleading confidence score</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Editable outputs and analyst approval</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Calibration, warning, training and human-factors test; Business</w:t>
            </w:r>
          </w:p>
        </w:tc>
      </w:tr>
      <w:tr>
        <w:tc>
          <w:tcPr>
            <w:tcW w:type="dxa" w:w="680"/>
            <w:vAlign w:val="center"/>
            <w:shd w:fill="F3F6F8"/>
          </w:tcPr>
          <w:p>
            <w:pPr>
              <w:spacing w:after="0"/>
            </w:pPr>
            <w:r/>
            <w:r>
              <w:rPr>
                <w:rFonts w:ascii="Aptos" w:hAnsi="Aptos"/>
                <w:b w:val="0"/>
                <w:sz w:val="15"/>
              </w:rPr>
              <w:t>R-08</w:t>
            </w:r>
          </w:p>
        </w:tc>
        <w:tc>
          <w:tcPr>
            <w:tcW w:type="dxa" w:w="2721"/>
            <w:vAlign w:val="center"/>
          </w:tcPr>
          <w:p>
            <w:pPr>
              <w:spacing w:after="0"/>
            </w:pPr>
            <w:r/>
            <w:r>
              <w:rPr>
                <w:rFonts w:ascii="Aptos" w:hAnsi="Aptos"/>
                <w:b w:val="0"/>
                <w:sz w:val="15"/>
              </w:rPr>
              <w:t>SSRF or malicious URL retrieval</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URL validation</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Network egress plus allow/deny policy; Security</w:t>
            </w:r>
          </w:p>
        </w:tc>
      </w:tr>
      <w:tr>
        <w:tc>
          <w:tcPr>
            <w:tcW w:type="dxa" w:w="680"/>
            <w:vAlign w:val="center"/>
            <w:shd w:fill="F3F6F8"/>
          </w:tcPr>
          <w:p>
            <w:pPr>
              <w:spacing w:after="0"/>
            </w:pPr>
            <w:r/>
            <w:r>
              <w:rPr>
                <w:rFonts w:ascii="Aptos" w:hAnsi="Aptos"/>
                <w:b w:val="0"/>
                <w:sz w:val="15"/>
              </w:rPr>
              <w:t>R-09</w:t>
            </w:r>
          </w:p>
        </w:tc>
        <w:tc>
          <w:tcPr>
            <w:tcW w:type="dxa" w:w="2721"/>
            <w:vAlign w:val="center"/>
          </w:tcPr>
          <w:p>
            <w:pPr>
              <w:spacing w:after="0"/>
            </w:pPr>
            <w:r/>
            <w:r>
              <w:rPr>
                <w:rFonts w:ascii="Aptos" w:hAnsi="Aptos"/>
                <w:b w:val="0"/>
                <w:sz w:val="15"/>
              </w:rPr>
              <w:t>Model/vendor change causes unvalidated drift</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Telemetry and versioned application</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Supplier monitoring, canary, regression and rollback; Vendor Owner</w:t>
            </w:r>
          </w:p>
        </w:tc>
      </w:tr>
      <w:tr>
        <w:tc>
          <w:tcPr>
            <w:tcW w:type="dxa" w:w="680"/>
            <w:vAlign w:val="center"/>
            <w:shd w:fill="F3F6F8"/>
          </w:tcPr>
          <w:p>
            <w:pPr>
              <w:spacing w:after="0"/>
            </w:pPr>
            <w:r/>
            <w:r>
              <w:rPr>
                <w:rFonts w:ascii="Aptos" w:hAnsi="Aptos"/>
                <w:b w:val="0"/>
                <w:sz w:val="15"/>
              </w:rPr>
              <w:t>R-10</w:t>
            </w:r>
          </w:p>
        </w:tc>
        <w:tc>
          <w:tcPr>
            <w:tcW w:type="dxa" w:w="2721"/>
            <w:vAlign w:val="center"/>
          </w:tcPr>
          <w:p>
            <w:pPr>
              <w:spacing w:after="0"/>
            </w:pPr>
            <w:r/>
            <w:r>
              <w:rPr>
                <w:rFonts w:ascii="Aptos" w:hAnsi="Aptos"/>
                <w:b w:val="0"/>
                <w:sz w:val="15"/>
              </w:rPr>
              <w:t>Moderation outage permits unsafe input</w:t>
            </w:r>
          </w:p>
        </w:tc>
        <w:tc>
          <w:tcPr>
            <w:tcW w:type="dxa" w:w="1020"/>
            <w:vAlign w:val="center"/>
          </w:tcPr>
          <w:p>
            <w:pPr>
              <w:spacing w:after="0"/>
            </w:pPr>
            <w:r/>
            <w:r>
              <w:rPr>
                <w:rFonts w:ascii="Aptos" w:hAnsi="Aptos"/>
                <w:b w:val="0"/>
                <w:sz w:val="15"/>
              </w:rPr>
              <w:t>Medium/High</w:t>
            </w:r>
          </w:p>
        </w:tc>
        <w:tc>
          <w:tcPr>
            <w:tcW w:type="dxa" w:w="2835"/>
            <w:vAlign w:val="center"/>
          </w:tcPr>
          <w:p>
            <w:pPr>
              <w:spacing w:after="0"/>
            </w:pPr>
            <w:r/>
            <w:r>
              <w:rPr>
                <w:rFonts w:ascii="Aptos" w:hAnsi="Aptos"/>
                <w:b w:val="0"/>
                <w:sz w:val="15"/>
              </w:rPr>
              <w:t>Error recorded; current fail-open behavior</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Approve fail-closed/compensating control; Risk Owner</w:t>
            </w:r>
          </w:p>
        </w:tc>
      </w:tr>
      <w:tr>
        <w:tc>
          <w:tcPr>
            <w:tcW w:type="dxa" w:w="680"/>
            <w:vAlign w:val="center"/>
            <w:shd w:fill="F3F6F8"/>
          </w:tcPr>
          <w:p>
            <w:pPr>
              <w:spacing w:after="0"/>
            </w:pPr>
            <w:r/>
            <w:r>
              <w:rPr>
                <w:rFonts w:ascii="Aptos" w:hAnsi="Aptos"/>
                <w:b w:val="0"/>
                <w:sz w:val="15"/>
              </w:rPr>
              <w:t>R-11</w:t>
            </w:r>
          </w:p>
        </w:tc>
        <w:tc>
          <w:tcPr>
            <w:tcW w:type="dxa" w:w="2721"/>
            <w:vAlign w:val="center"/>
          </w:tcPr>
          <w:p>
            <w:pPr>
              <w:spacing w:after="0"/>
            </w:pPr>
            <w:r/>
            <w:r>
              <w:rPr>
                <w:rFonts w:ascii="Aptos" w:hAnsi="Aptos"/>
                <w:b w:val="0"/>
                <w:sz w:val="15"/>
              </w:rPr>
              <w:t>Snapshot/export is incorrect, mutable or over-discloses</w:t>
            </w:r>
          </w:p>
        </w:tc>
        <w:tc>
          <w:tcPr>
            <w:tcW w:type="dxa" w:w="1020"/>
            <w:vAlign w:val="center"/>
          </w:tcPr>
          <w:p>
            <w:pPr>
              <w:spacing w:after="0"/>
            </w:pPr>
            <w:r/>
            <w:r>
              <w:rPr>
                <w:rFonts w:ascii="Aptos" w:hAnsi="Aptos"/>
                <w:b w:val="0"/>
                <w:sz w:val="15"/>
              </w:rPr>
              <w:t>High</w:t>
            </w:r>
          </w:p>
        </w:tc>
        <w:tc>
          <w:tcPr>
            <w:tcW w:type="dxa" w:w="2835"/>
            <w:vAlign w:val="center"/>
          </w:tcPr>
          <w:p>
            <w:pPr>
              <w:spacing w:after="0"/>
            </w:pPr>
            <w:r/>
            <w:r>
              <w:rPr>
                <w:rFonts w:ascii="Aptos" w:hAnsi="Aptos"/>
                <w:b w:val="0"/>
                <w:sz w:val="15"/>
              </w:rPr>
              <w:t>Immutable snapshot design; masking setting</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Focused tests and release gate; QA/DPO</w:t>
            </w:r>
          </w:p>
        </w:tc>
      </w:tr>
      <w:tr>
        <w:tc>
          <w:tcPr>
            <w:tcW w:type="dxa" w:w="680"/>
            <w:vAlign w:val="center"/>
            <w:shd w:fill="F3F6F8"/>
          </w:tcPr>
          <w:p>
            <w:pPr>
              <w:spacing w:after="0"/>
            </w:pPr>
            <w:r/>
            <w:r>
              <w:rPr>
                <w:rFonts w:ascii="Aptos" w:hAnsi="Aptos"/>
                <w:b w:val="0"/>
                <w:sz w:val="15"/>
              </w:rPr>
              <w:t>R-12</w:t>
            </w:r>
          </w:p>
        </w:tc>
        <w:tc>
          <w:tcPr>
            <w:tcW w:type="dxa" w:w="2721"/>
            <w:vAlign w:val="center"/>
          </w:tcPr>
          <w:p>
            <w:pPr>
              <w:spacing w:after="0"/>
            </w:pPr>
            <w:r/>
            <w:r>
              <w:rPr>
                <w:rFonts w:ascii="Aptos" w:hAnsi="Aptos"/>
                <w:b w:val="0"/>
                <w:sz w:val="15"/>
              </w:rPr>
              <w:t>Inadequate logs prevent investigation</w:t>
            </w:r>
          </w:p>
        </w:tc>
        <w:tc>
          <w:tcPr>
            <w:tcW w:type="dxa" w:w="1020"/>
            <w:vAlign w:val="center"/>
          </w:tcPr>
          <w:p>
            <w:pPr>
              <w:spacing w:after="0"/>
            </w:pPr>
            <w:r/>
            <w:r>
              <w:rPr>
                <w:rFonts w:ascii="Aptos" w:hAnsi="Aptos"/>
                <w:b w:val="0"/>
                <w:sz w:val="15"/>
              </w:rPr>
              <w:t>Medium</w:t>
            </w:r>
          </w:p>
        </w:tc>
        <w:tc>
          <w:tcPr>
            <w:tcW w:type="dxa" w:w="2835"/>
            <w:vAlign w:val="center"/>
          </w:tcPr>
          <w:p>
            <w:pPr>
              <w:spacing w:after="0"/>
            </w:pPr>
            <w:r/>
            <w:r>
              <w:rPr>
                <w:rFonts w:ascii="Aptos" w:hAnsi="Aptos"/>
                <w:b w:val="0"/>
                <w:sz w:val="15"/>
              </w:rPr>
              <w:t>Audit and telemetry exist</w:t>
            </w:r>
          </w:p>
        </w:tc>
        <w:tc>
          <w:tcPr>
            <w:tcW w:type="dxa" w:w="907"/>
            <w:vAlign w:val="center"/>
          </w:tcPr>
          <w:p>
            <w:pPr>
              <w:spacing w:after="0"/>
            </w:pPr>
            <w:r/>
            <w:r>
              <w:rPr>
                <w:rFonts w:ascii="Aptos" w:hAnsi="Aptos"/>
                <w:b w:val="0"/>
                <w:sz w:val="15"/>
              </w:rPr>
              <w:t>TBC</w:t>
            </w:r>
          </w:p>
        </w:tc>
        <w:tc>
          <w:tcPr>
            <w:tcW w:type="dxa" w:w="2608"/>
            <w:vAlign w:val="center"/>
          </w:tcPr>
          <w:p>
            <w:pPr>
              <w:spacing w:after="0"/>
            </w:pPr>
            <w:r/>
            <w:r>
              <w:rPr>
                <w:rFonts w:ascii="Aptos" w:hAnsi="Aptos"/>
                <w:b w:val="0"/>
                <w:sz w:val="15"/>
              </w:rPr>
              <w:t>Retention, integrity, clock sync, access and incident drill; SRE</w:t>
            </w:r>
          </w:p>
        </w:tc>
      </w:tr>
    </w:tbl>
    <w:p>
      <w:pPr>
        <w:spacing w:after="0"/>
      </w:pPr>
    </w:p>
    <w:p>
      <w:pPr>
        <w:pStyle w:val="Heading1"/>
      </w:pPr>
      <w:r>
        <w:t>10. Cybersecurity, privacy and logging</w:t>
      </w:r>
    </w:p>
    <w:p>
      <w:pPr>
        <w:pStyle w:val="Heading2"/>
      </w:pPr>
      <w:r>
        <w:t>10.1 Implemented controls</w:t>
      </w:r>
    </w:p>
    <w:p>
      <w:pPr>
        <w:pStyle w:val="ListBullet"/>
      </w:pPr>
      <w:r>
        <w:t>PBKDF2-SHA256 password hashes; raw session tokens are not persisted, only SHA-256 token hashes.</w:t>
      </w:r>
    </w:p>
    <w:p>
      <w:pPr>
        <w:pStyle w:val="ListBullet"/>
      </w:pPr>
      <w:r>
        <w:t>HTTP-only cookies and absolute server-side session lifetimes: 30 minutes for business roles and 15 minutes for Administrators.</w:t>
      </w:r>
    </w:p>
    <w:p>
      <w:pPr>
        <w:pStyle w:val="ListBullet"/>
      </w:pPr>
      <w:r>
        <w:t>Backend-enforced ownership and role authorization; administrators are separated from deal workflows.</w:t>
      </w:r>
    </w:p>
    <w:p>
      <w:pPr>
        <w:pStyle w:val="ListBullet"/>
      </w:pPr>
      <w:r>
        <w:t>File extension plus signature/content validation and filename sanitization.</w:t>
      </w:r>
    </w:p>
    <w:p>
      <w:pPr>
        <w:pStyle w:val="ListBullet"/>
      </w:pPr>
      <w:r>
        <w:t>Append-only application audit records with event ID, UTC timestamp, source IP, user/resource identifiers, category, event type, status, outcome and message.</w:t>
      </w:r>
    </w:p>
    <w:p>
      <w:pPr>
        <w:pStyle w:val="ListBullet"/>
      </w:pPr>
      <w:r>
        <w:t>Optional Windows DPAPI-protected AES-256-GCM local secret storage with documented 90-day key rotation check.</w:t>
      </w:r>
    </w:p>
    <w:p>
      <w:pPr>
        <w:pStyle w:val="ListBullet"/>
      </w:pPr>
      <w:r>
        <w:t>Mistral telemetry with redaction and stored stage/model/latency/token details where exposed.</w:t>
      </w:r>
    </w:p>
    <w:p>
      <w:pPr>
        <w:pStyle w:val="Heading2"/>
      </w:pPr>
      <w:r>
        <w:t>10.2 Production prerequisites</w:t>
      </w:r>
    </w:p>
    <w:p>
      <w:pPr>
        <w:pStyle w:val="ListBullet"/>
      </w:pPr>
      <w:r>
        <w:t>Enforce HTTPS, secure cookie attributes and exact CORS origins; document trusted-proxy configuration.</w:t>
      </w:r>
    </w:p>
    <w:p>
      <w:pPr>
        <w:pStyle w:val="ListBullet"/>
      </w:pPr>
      <w:r>
        <w:t>Adopt managed secrets, least-privilege service identities, database encryption, backup/restore and key-management procedures.</w:t>
      </w:r>
    </w:p>
    <w:p>
      <w:pPr>
        <w:pStyle w:val="ListBullet"/>
      </w:pPr>
      <w:r>
        <w:t>Add login/reset throttling and session revocation; replace recovery-question-only reset semantics with a verified reset-token or administrator-controlled flow.</w:t>
      </w:r>
    </w:p>
    <w:p>
      <w:pPr>
        <w:pStyle w:val="ListBullet"/>
      </w:pPr>
      <w:r>
        <w:t>Implement egress control and SSRF protections for URL retrieval; malware scanning and content-disarm policy for uploads.</w:t>
      </w:r>
    </w:p>
    <w:p>
      <w:pPr>
        <w:pStyle w:val="ListBullet"/>
      </w:pPr>
      <w:r>
        <w:t>Produce an SBOM; perform SAST, SCA, secret scanning, DAST and penetration testing; define patch and vulnerability SLAs.</w:t>
      </w:r>
    </w:p>
    <w:p>
      <w:pPr>
        <w:pStyle w:val="ListBullet"/>
      </w:pPr>
      <w:r>
        <w:t>Document personal-data categories, lawful basis, minimization, data-subject rights, retention/deletion, international transfers and processor obligations.</w:t>
      </w:r>
    </w:p>
    <w:p>
      <w:pPr>
        <w:pStyle w:val="ListBullet"/>
      </w:pPr>
      <w:r>
        <w:t>Protect logs against alteration, limit access, synchronize clocks and validate that secrets and unnecessary personal data are redacted.</w:t>
      </w:r>
    </w:p>
    <w:p>
      <w:pPr>
        <w:pStyle w:val="Heading1"/>
      </w:pPr>
      <w:r>
        <w:t>11. Predetermined changes and continuous compliance</w:t>
      </w:r>
    </w:p>
    <w:tbl>
      <w:tblPr>
        <w:tblStyle w:val="TableGrid"/>
        <w:tblW w:type="auto" w:w="0"/>
        <w:jc w:val="center"/>
        <w:tblLook w:firstColumn="1" w:firstRow="1" w:lastColumn="0" w:lastRow="0" w:noHBand="0" w:noVBand="1" w:val="04A0"/>
      </w:tblPr>
      <w:tblGrid>
        <w:gridCol w:w="3343"/>
        <w:gridCol w:w="3343"/>
        <w:gridCol w:w="3343"/>
      </w:tblGrid>
      <w:tr>
        <w:tc>
          <w:tcPr>
            <w:tcW w:type="dxa" w:w="1984"/>
            <w:vAlign w:val="center"/>
            <w:shd w:fill="17365D"/>
          </w:tcPr>
          <w:p>
            <w:pPr>
              <w:spacing w:after="0"/>
            </w:pPr>
            <w:r/>
            <w:r>
              <w:rPr>
                <w:rFonts w:ascii="Aptos" w:hAnsi="Aptos"/>
                <w:b/>
                <w:color w:val="FFFFFF"/>
                <w:sz w:val="17"/>
              </w:rPr>
              <w:t>Change type</w:t>
            </w:r>
          </w:p>
        </w:tc>
        <w:tc>
          <w:tcPr>
            <w:tcW w:type="dxa" w:w="4535"/>
            <w:vAlign w:val="center"/>
            <w:shd w:fill="17365D"/>
          </w:tcPr>
          <w:p>
            <w:pPr>
              <w:spacing w:after="0"/>
            </w:pPr>
            <w:r/>
            <w:r>
              <w:rPr>
                <w:rFonts w:ascii="Aptos" w:hAnsi="Aptos"/>
                <w:b/>
                <w:color w:val="FFFFFF"/>
                <w:sz w:val="17"/>
              </w:rPr>
              <w:t>Predetermined envelope / rule</w:t>
            </w:r>
          </w:p>
        </w:tc>
        <w:tc>
          <w:tcPr>
            <w:tcW w:type="dxa" w:w="3685"/>
            <w:vAlign w:val="center"/>
            <w:shd w:fill="17365D"/>
          </w:tcPr>
          <w:p>
            <w:pPr>
              <w:spacing w:after="0"/>
            </w:pPr>
            <w:r/>
            <w:r>
              <w:rPr>
                <w:rFonts w:ascii="Aptos" w:hAnsi="Aptos"/>
                <w:b/>
                <w:color w:val="FFFFFF"/>
                <w:sz w:val="17"/>
              </w:rPr>
              <w:t>Validation and approval</w:t>
            </w:r>
          </w:p>
        </w:tc>
      </w:tr>
      <w:tr>
        <w:tc>
          <w:tcPr>
            <w:tcW w:type="dxa" w:w="1984"/>
            <w:vAlign w:val="center"/>
            <w:shd w:fill="F3F6F8"/>
          </w:tcPr>
          <w:p>
            <w:pPr>
              <w:spacing w:after="0"/>
            </w:pPr>
            <w:r/>
            <w:r>
              <w:rPr>
                <w:rFonts w:ascii="Aptos" w:hAnsi="Aptos"/>
                <w:b w:val="0"/>
                <w:sz w:val="17"/>
              </w:rPr>
              <w:t>Prompt/instruction update</w:t>
            </w:r>
          </w:p>
        </w:tc>
        <w:tc>
          <w:tcPr>
            <w:tcW w:type="dxa" w:w="4535"/>
            <w:vAlign w:val="center"/>
          </w:tcPr>
          <w:p>
            <w:pPr>
              <w:spacing w:after="0"/>
            </w:pPr>
            <w:r/>
            <w:r>
              <w:rPr>
                <w:rFonts w:ascii="Aptos" w:hAnsi="Aptos"/>
                <w:b w:val="0"/>
                <w:sz w:val="17"/>
              </w:rPr>
              <w:t>Allowed only within approved section purpose and safety rules; version and rationale recorded.</w:t>
            </w:r>
          </w:p>
        </w:tc>
        <w:tc>
          <w:tcPr>
            <w:tcW w:type="dxa" w:w="3685"/>
            <w:vAlign w:val="center"/>
          </w:tcPr>
          <w:p>
            <w:pPr>
              <w:spacing w:after="0"/>
            </w:pPr>
            <w:r/>
            <w:r>
              <w:rPr>
                <w:rFonts w:ascii="Aptos" w:hAnsi="Aptos"/>
                <w:b w:val="0"/>
                <w:sz w:val="17"/>
              </w:rPr>
              <w:t>Regression corpus, safety/grounding comparison; Model Risk/Product approval.</w:t>
            </w:r>
          </w:p>
        </w:tc>
      </w:tr>
      <w:tr>
        <w:tc>
          <w:tcPr>
            <w:tcW w:type="dxa" w:w="1984"/>
            <w:vAlign w:val="center"/>
            <w:shd w:fill="F3F6F8"/>
          </w:tcPr>
          <w:p>
            <w:pPr>
              <w:spacing w:after="0"/>
            </w:pPr>
            <w:r/>
            <w:r>
              <w:rPr>
                <w:rFonts w:ascii="Aptos" w:hAnsi="Aptos"/>
                <w:b w:val="0"/>
                <w:sz w:val="17"/>
              </w:rPr>
              <w:t>Model or supplier version</w:t>
            </w:r>
          </w:p>
        </w:tc>
        <w:tc>
          <w:tcPr>
            <w:tcW w:type="dxa" w:w="4535"/>
            <w:vAlign w:val="center"/>
          </w:tcPr>
          <w:p>
            <w:pPr>
              <w:spacing w:after="0"/>
            </w:pPr>
            <w:r/>
            <w:r>
              <w:rPr>
                <w:rFonts w:ascii="Aptos" w:hAnsi="Aptos"/>
                <w:b w:val="0"/>
                <w:sz w:val="17"/>
              </w:rPr>
              <w:t>Not automatically approved unless explicitly covered by a validated compatibility range.</w:t>
            </w:r>
          </w:p>
        </w:tc>
        <w:tc>
          <w:tcPr>
            <w:tcW w:type="dxa" w:w="3685"/>
            <w:vAlign w:val="center"/>
          </w:tcPr>
          <w:p>
            <w:pPr>
              <w:spacing w:after="0"/>
            </w:pPr>
            <w:r/>
            <w:r>
              <w:rPr>
                <w:rFonts w:ascii="Aptos" w:hAnsi="Aptos"/>
                <w:b w:val="0"/>
                <w:sz w:val="17"/>
              </w:rPr>
              <w:t>Full or risk-based revalidation, supplier assessment and rollback plan.</w:t>
            </w:r>
          </w:p>
        </w:tc>
      </w:tr>
      <w:tr>
        <w:tc>
          <w:tcPr>
            <w:tcW w:type="dxa" w:w="1984"/>
            <w:vAlign w:val="center"/>
            <w:shd w:fill="F3F6F8"/>
          </w:tcPr>
          <w:p>
            <w:pPr>
              <w:spacing w:after="0"/>
            </w:pPr>
            <w:r/>
            <w:r>
              <w:rPr>
                <w:rFonts w:ascii="Aptos" w:hAnsi="Aptos"/>
                <w:b w:val="0"/>
                <w:sz w:val="17"/>
              </w:rPr>
              <w:t>Data source/table/schema</w:t>
            </w:r>
          </w:p>
        </w:tc>
        <w:tc>
          <w:tcPr>
            <w:tcW w:type="dxa" w:w="4535"/>
            <w:vAlign w:val="center"/>
          </w:tcPr>
          <w:p>
            <w:pPr>
              <w:spacing w:after="0"/>
            </w:pPr>
            <w:r/>
            <w:r>
              <w:rPr>
                <w:rFonts w:ascii="Aptos" w:hAnsi="Aptos"/>
                <w:b w:val="0"/>
                <w:sz w:val="17"/>
              </w:rPr>
              <w:t>Allowed only with documented lineage, quality rules and owner authorization.</w:t>
            </w:r>
          </w:p>
        </w:tc>
        <w:tc>
          <w:tcPr>
            <w:tcW w:type="dxa" w:w="3685"/>
            <w:vAlign w:val="center"/>
          </w:tcPr>
          <w:p>
            <w:pPr>
              <w:spacing w:after="0"/>
            </w:pPr>
            <w:r/>
            <w:r>
              <w:rPr>
                <w:rFonts w:ascii="Aptos" w:hAnsi="Aptos"/>
                <w:b w:val="0"/>
                <w:sz w:val="17"/>
              </w:rPr>
              <w:t>Migration/reconciliation, privacy and output regression tests.</w:t>
            </w:r>
          </w:p>
        </w:tc>
      </w:tr>
      <w:tr>
        <w:tc>
          <w:tcPr>
            <w:tcW w:type="dxa" w:w="1984"/>
            <w:vAlign w:val="center"/>
            <w:shd w:fill="F3F6F8"/>
          </w:tcPr>
          <w:p>
            <w:pPr>
              <w:spacing w:after="0"/>
            </w:pPr>
            <w:r/>
            <w:r>
              <w:rPr>
                <w:rFonts w:ascii="Aptos" w:hAnsi="Aptos"/>
                <w:b w:val="0"/>
                <w:sz w:val="17"/>
              </w:rPr>
              <w:t>Dependency/security patch</w:t>
            </w:r>
          </w:p>
        </w:tc>
        <w:tc>
          <w:tcPr>
            <w:tcW w:type="dxa" w:w="4535"/>
            <w:vAlign w:val="center"/>
          </w:tcPr>
          <w:p>
            <w:pPr>
              <w:spacing w:after="0"/>
            </w:pPr>
            <w:r/>
            <w:r>
              <w:rPr>
                <w:rFonts w:ascii="Aptos" w:hAnsi="Aptos"/>
                <w:b w:val="0"/>
                <w:sz w:val="17"/>
              </w:rPr>
              <w:t>Routine patch may be predetermined if interfaces/behavior remain compatible.</w:t>
            </w:r>
          </w:p>
        </w:tc>
        <w:tc>
          <w:tcPr>
            <w:tcW w:type="dxa" w:w="3685"/>
            <w:vAlign w:val="center"/>
          </w:tcPr>
          <w:p>
            <w:pPr>
              <w:spacing w:after="0"/>
            </w:pPr>
            <w:r/>
            <w:r>
              <w:rPr>
                <w:rFonts w:ascii="Aptos" w:hAnsi="Aptos"/>
                <w:b w:val="0"/>
                <w:sz w:val="17"/>
              </w:rPr>
              <w:t>Automated test suite, vulnerability review and change record.</w:t>
            </w:r>
          </w:p>
        </w:tc>
      </w:tr>
      <w:tr>
        <w:tc>
          <w:tcPr>
            <w:tcW w:type="dxa" w:w="1984"/>
            <w:vAlign w:val="center"/>
            <w:shd w:fill="F3F6F8"/>
          </w:tcPr>
          <w:p>
            <w:pPr>
              <w:spacing w:after="0"/>
            </w:pPr>
            <w:r/>
            <w:r>
              <w:rPr>
                <w:rFonts w:ascii="Aptos" w:hAnsi="Aptos"/>
                <w:b w:val="0"/>
                <w:sz w:val="17"/>
              </w:rPr>
              <w:t>Performance threshold</w:t>
            </w:r>
          </w:p>
        </w:tc>
        <w:tc>
          <w:tcPr>
            <w:tcW w:type="dxa" w:w="4535"/>
            <w:vAlign w:val="center"/>
          </w:tcPr>
          <w:p>
            <w:pPr>
              <w:spacing w:after="0"/>
            </w:pPr>
            <w:r/>
            <w:r>
              <w:rPr>
                <w:rFonts w:ascii="Aptos" w:hAnsi="Aptos"/>
                <w:b w:val="0"/>
                <w:sz w:val="17"/>
              </w:rPr>
              <w:t>Tightening may be predetermined; relaxing is material and requires risk acceptance.</w:t>
            </w:r>
          </w:p>
        </w:tc>
        <w:tc>
          <w:tcPr>
            <w:tcW w:type="dxa" w:w="3685"/>
            <w:vAlign w:val="center"/>
          </w:tcPr>
          <w:p>
            <w:pPr>
              <w:spacing w:after="0"/>
            </w:pPr>
            <w:r/>
            <w:r>
              <w:rPr>
                <w:rFonts w:ascii="Aptos" w:hAnsi="Aptos"/>
                <w:b w:val="0"/>
                <w:sz w:val="17"/>
              </w:rPr>
              <w:t>Metric owner, rationale, monitoring and sign-off.</w:t>
            </w:r>
          </w:p>
        </w:tc>
      </w:tr>
      <w:tr>
        <w:tc>
          <w:tcPr>
            <w:tcW w:type="dxa" w:w="1984"/>
            <w:vAlign w:val="center"/>
            <w:shd w:fill="F3F6F8"/>
          </w:tcPr>
          <w:p>
            <w:pPr>
              <w:spacing w:after="0"/>
            </w:pPr>
            <w:r/>
            <w:r>
              <w:rPr>
                <w:rFonts w:ascii="Aptos" w:hAnsi="Aptos"/>
                <w:b w:val="0"/>
                <w:sz w:val="17"/>
              </w:rPr>
              <w:t>Intended purpose/population/jurisdiction</w:t>
            </w:r>
          </w:p>
        </w:tc>
        <w:tc>
          <w:tcPr>
            <w:tcW w:type="dxa" w:w="4535"/>
            <w:vAlign w:val="center"/>
          </w:tcPr>
          <w:p>
            <w:pPr>
              <w:spacing w:after="0"/>
            </w:pPr>
            <w:r/>
            <w:r>
              <w:rPr>
                <w:rFonts w:ascii="Aptos" w:hAnsi="Aptos"/>
                <w:b w:val="0"/>
                <w:sz w:val="17"/>
              </w:rPr>
              <w:t>Outside predetermined envelope.</w:t>
            </w:r>
          </w:p>
        </w:tc>
        <w:tc>
          <w:tcPr>
            <w:tcW w:type="dxa" w:w="3685"/>
            <w:vAlign w:val="center"/>
          </w:tcPr>
          <w:p>
            <w:pPr>
              <w:spacing w:after="0"/>
            </w:pPr>
            <w:r/>
            <w:r>
              <w:rPr>
                <w:rFonts w:ascii="Aptos" w:hAnsi="Aptos"/>
                <w:b w:val="0"/>
                <w:sz w:val="17"/>
              </w:rPr>
              <w:t>New classification, risk, privacy, validation and conformity assessment.</w:t>
            </w:r>
          </w:p>
        </w:tc>
      </w:tr>
      <w:tr>
        <w:tc>
          <w:tcPr>
            <w:tcW w:type="dxa" w:w="1984"/>
            <w:vAlign w:val="center"/>
            <w:shd w:fill="F3F6F8"/>
          </w:tcPr>
          <w:p>
            <w:pPr>
              <w:spacing w:after="0"/>
            </w:pPr>
            <w:r/>
            <w:r>
              <w:rPr>
                <w:rFonts w:ascii="Aptos" w:hAnsi="Aptos"/>
                <w:b w:val="0"/>
                <w:sz w:val="17"/>
              </w:rPr>
              <w:t>Architecture/hosting/tenancy</w:t>
            </w:r>
          </w:p>
        </w:tc>
        <w:tc>
          <w:tcPr>
            <w:tcW w:type="dxa" w:w="4535"/>
            <w:vAlign w:val="center"/>
          </w:tcPr>
          <w:p>
            <w:pPr>
              <w:spacing w:after="0"/>
            </w:pPr>
            <w:r/>
            <w:r>
              <w:rPr>
                <w:rFonts w:ascii="Aptos" w:hAnsi="Aptos"/>
                <w:b w:val="0"/>
                <w:sz w:val="17"/>
              </w:rPr>
              <w:t>Material if it changes data flow, isolation, external processing or human oversight.</w:t>
            </w:r>
          </w:p>
        </w:tc>
        <w:tc>
          <w:tcPr>
            <w:tcW w:type="dxa" w:w="3685"/>
            <w:vAlign w:val="center"/>
          </w:tcPr>
          <w:p>
            <w:pPr>
              <w:spacing w:after="0"/>
            </w:pPr>
            <w:r/>
            <w:r>
              <w:rPr>
                <w:rFonts w:ascii="Aptos" w:hAnsi="Aptos"/>
                <w:b w:val="0"/>
                <w:sz w:val="17"/>
              </w:rPr>
              <w:t>Threat model, DPIA, load/security tests and release approval.</w:t>
            </w:r>
          </w:p>
        </w:tc>
      </w:tr>
    </w:tbl>
    <w:p>
      <w:pPr>
        <w:spacing w:after="0"/>
      </w:pPr>
    </w:p>
    <w:p>
      <w:r>
        <w:t>A change is significant when it may affect intended purpose, regulatory classification, safety, fundamental rights, performance, cybersecurity, data governance, human oversight or conformity. Significant changes require a new documented assessment and may require a new conformity procedure.</w:t>
      </w:r>
    </w:p>
    <w:p>
      <w:pPr>
        <w:pStyle w:val="Heading1"/>
      </w:pPr>
      <w:r>
        <w:t>12. Configuration management and lifecycle record</w:t>
      </w:r>
    </w:p>
    <w:p>
      <w:pPr>
        <w:pStyle w:val="Heading2"/>
      </w:pPr>
      <w:r>
        <w:t>12.1 Configuration baseline</w:t>
      </w:r>
    </w:p>
    <w:tbl>
      <w:tblPr>
        <w:tblStyle w:val="TableGrid"/>
        <w:tblW w:type="auto" w:w="0"/>
        <w:jc w:val="center"/>
        <w:tblLook w:firstColumn="1" w:firstRow="1" w:lastColumn="0" w:lastRow="0" w:noHBand="0" w:noVBand="1" w:val="04A0"/>
      </w:tblPr>
      <w:tblGrid>
        <w:gridCol w:w="3343"/>
        <w:gridCol w:w="3343"/>
        <w:gridCol w:w="3343"/>
      </w:tblGrid>
      <w:tr>
        <w:tc>
          <w:tcPr>
            <w:tcW w:type="dxa" w:w="2268"/>
            <w:vAlign w:val="center"/>
            <w:shd w:fill="17365D"/>
          </w:tcPr>
          <w:p>
            <w:pPr>
              <w:spacing w:after="0"/>
            </w:pPr>
            <w:r/>
            <w:r>
              <w:rPr>
                <w:rFonts w:ascii="Aptos" w:hAnsi="Aptos"/>
                <w:b/>
                <w:color w:val="FFFFFF"/>
                <w:sz w:val="17"/>
              </w:rPr>
              <w:t>Configuration item</w:t>
            </w:r>
          </w:p>
        </w:tc>
        <w:tc>
          <w:tcPr>
            <w:tcW w:type="dxa" w:w="4535"/>
            <w:vAlign w:val="center"/>
            <w:shd w:fill="17365D"/>
          </w:tcPr>
          <w:p>
            <w:pPr>
              <w:spacing w:after="0"/>
            </w:pPr>
            <w:r/>
            <w:r>
              <w:rPr>
                <w:rFonts w:ascii="Aptos" w:hAnsi="Aptos"/>
                <w:b/>
                <w:color w:val="FFFFFF"/>
                <w:sz w:val="17"/>
              </w:rPr>
              <w:t>Baseline / identifier</w:t>
            </w:r>
          </w:p>
        </w:tc>
        <w:tc>
          <w:tcPr>
            <w:tcW w:type="dxa" w:w="3402"/>
            <w:vAlign w:val="center"/>
            <w:shd w:fill="17365D"/>
          </w:tcPr>
          <w:p>
            <w:pPr>
              <w:spacing w:after="0"/>
            </w:pPr>
            <w:r/>
            <w:r>
              <w:rPr>
                <w:rFonts w:ascii="Aptos" w:hAnsi="Aptos"/>
                <w:b/>
                <w:color w:val="FFFFFF"/>
                <w:sz w:val="17"/>
              </w:rPr>
              <w:t>Record location</w:t>
            </w:r>
          </w:p>
        </w:tc>
      </w:tr>
      <w:tr>
        <w:tc>
          <w:tcPr>
            <w:tcW w:type="dxa" w:w="2268"/>
            <w:vAlign w:val="center"/>
            <w:shd w:fill="F3F6F8"/>
          </w:tcPr>
          <w:p>
            <w:pPr>
              <w:spacing w:after="0"/>
            </w:pPr>
            <w:r/>
            <w:r>
              <w:rPr>
                <w:rFonts w:ascii="Aptos" w:hAnsi="Aptos"/>
                <w:b w:val="0"/>
                <w:sz w:val="17"/>
              </w:rPr>
              <w:t>Application source</w:t>
            </w:r>
          </w:p>
        </w:tc>
        <w:tc>
          <w:tcPr>
            <w:tcW w:type="dxa" w:w="4535"/>
            <w:vAlign w:val="center"/>
          </w:tcPr>
          <w:p>
            <w:pPr>
              <w:spacing w:after="0"/>
            </w:pPr>
            <w:r/>
            <w:r>
              <w:rPr>
                <w:rFonts w:ascii="Aptos" w:hAnsi="Aptos"/>
                <w:b w:val="0"/>
                <w:sz w:val="17"/>
              </w:rPr>
              <w:t>Git commit 83b8c2989f11a41605686ee31e32cbeb5eb6008c</w:t>
            </w:r>
          </w:p>
        </w:tc>
        <w:tc>
          <w:tcPr>
            <w:tcW w:type="dxa" w:w="3402"/>
            <w:vAlign w:val="center"/>
          </w:tcPr>
          <w:p>
            <w:pPr>
              <w:spacing w:after="0"/>
            </w:pPr>
            <w:r/>
            <w:r>
              <w:rPr>
                <w:rFonts w:ascii="Aptos" w:hAnsi="Aptos"/>
                <w:b w:val="0"/>
                <w:sz w:val="17"/>
              </w:rPr>
              <w:t>Repository / signed release tag TBC</w:t>
            </w:r>
          </w:p>
        </w:tc>
      </w:tr>
      <w:tr>
        <w:tc>
          <w:tcPr>
            <w:tcW w:type="dxa" w:w="2268"/>
            <w:vAlign w:val="center"/>
            <w:shd w:fill="F3F6F8"/>
          </w:tcPr>
          <w:p>
            <w:pPr>
              <w:spacing w:after="0"/>
            </w:pPr>
            <w:r/>
            <w:r>
              <w:rPr>
                <w:rFonts w:ascii="Aptos" w:hAnsi="Aptos"/>
                <w:b w:val="0"/>
                <w:sz w:val="17"/>
              </w:rPr>
              <w:t>Backend dependencies</w:t>
            </w:r>
          </w:p>
        </w:tc>
        <w:tc>
          <w:tcPr>
            <w:tcW w:type="dxa" w:w="4535"/>
            <w:vAlign w:val="center"/>
          </w:tcPr>
          <w:p>
            <w:pPr>
              <w:spacing w:after="0"/>
            </w:pPr>
            <w:r/>
            <w:r>
              <w:rPr>
                <w:rFonts w:ascii="Aptos" w:hAnsi="Aptos"/>
                <w:b w:val="0"/>
                <w:sz w:val="17"/>
              </w:rPr>
              <w:t>Pinned in backend/requirements.txt</w:t>
            </w:r>
          </w:p>
        </w:tc>
        <w:tc>
          <w:tcPr>
            <w:tcW w:type="dxa" w:w="3402"/>
            <w:vAlign w:val="center"/>
          </w:tcPr>
          <w:p>
            <w:pPr>
              <w:spacing w:after="0"/>
            </w:pPr>
            <w:r/>
            <w:r>
              <w:rPr>
                <w:rFonts w:ascii="Aptos" w:hAnsi="Aptos"/>
                <w:b w:val="0"/>
                <w:sz w:val="17"/>
              </w:rPr>
              <w:t>SBOM and lock/hash evidence TBC</w:t>
            </w:r>
          </w:p>
        </w:tc>
      </w:tr>
      <w:tr>
        <w:tc>
          <w:tcPr>
            <w:tcW w:type="dxa" w:w="2268"/>
            <w:vAlign w:val="center"/>
            <w:shd w:fill="F3F6F8"/>
          </w:tcPr>
          <w:p>
            <w:pPr>
              <w:spacing w:after="0"/>
            </w:pPr>
            <w:r/>
            <w:r>
              <w:rPr>
                <w:rFonts w:ascii="Aptos" w:hAnsi="Aptos"/>
                <w:b w:val="0"/>
                <w:sz w:val="17"/>
              </w:rPr>
              <w:t>Frontend dependencies</w:t>
            </w:r>
          </w:p>
        </w:tc>
        <w:tc>
          <w:tcPr>
            <w:tcW w:type="dxa" w:w="4535"/>
            <w:vAlign w:val="center"/>
          </w:tcPr>
          <w:p>
            <w:pPr>
              <w:spacing w:after="0"/>
            </w:pPr>
            <w:r/>
            <w:r>
              <w:rPr>
                <w:rFonts w:ascii="Aptos" w:hAnsi="Aptos"/>
                <w:b w:val="0"/>
                <w:sz w:val="17"/>
              </w:rPr>
              <w:t>frontend/package-lock.json</w:t>
            </w:r>
          </w:p>
        </w:tc>
        <w:tc>
          <w:tcPr>
            <w:tcW w:type="dxa" w:w="3402"/>
            <w:vAlign w:val="center"/>
          </w:tcPr>
          <w:p>
            <w:pPr>
              <w:spacing w:after="0"/>
            </w:pPr>
            <w:r/>
            <w:r>
              <w:rPr>
                <w:rFonts w:ascii="Aptos" w:hAnsi="Aptos"/>
                <w:b w:val="0"/>
                <w:sz w:val="17"/>
              </w:rPr>
              <w:t>SBOM and build provenance TBC</w:t>
            </w:r>
          </w:p>
        </w:tc>
      </w:tr>
      <w:tr>
        <w:tc>
          <w:tcPr>
            <w:tcW w:type="dxa" w:w="2268"/>
            <w:vAlign w:val="center"/>
            <w:shd w:fill="F3F6F8"/>
          </w:tcPr>
          <w:p>
            <w:pPr>
              <w:spacing w:after="0"/>
            </w:pPr>
            <w:r/>
            <w:r>
              <w:rPr>
                <w:rFonts w:ascii="Aptos" w:hAnsi="Aptos"/>
                <w:b w:val="0"/>
                <w:sz w:val="17"/>
              </w:rPr>
              <w:t>Agent prompts</w:t>
            </w:r>
          </w:p>
        </w:tc>
        <w:tc>
          <w:tcPr>
            <w:tcW w:type="dxa" w:w="4535"/>
            <w:vAlign w:val="center"/>
          </w:tcPr>
          <w:p>
            <w:pPr>
              <w:spacing w:after="0"/>
            </w:pPr>
            <w:r/>
            <w:r>
              <w:rPr>
                <w:rFonts w:ascii="Aptos" w:hAnsi="Aptos"/>
                <w:b w:val="0"/>
                <w:sz w:val="17"/>
              </w:rPr>
              <w:t>backend/app/agents and orchestration modules</w:t>
            </w:r>
          </w:p>
        </w:tc>
        <w:tc>
          <w:tcPr>
            <w:tcW w:type="dxa" w:w="3402"/>
            <w:vAlign w:val="center"/>
          </w:tcPr>
          <w:p>
            <w:pPr>
              <w:spacing w:after="0"/>
            </w:pPr>
            <w:r/>
            <w:r>
              <w:rPr>
                <w:rFonts w:ascii="Aptos" w:hAnsi="Aptos"/>
                <w:b w:val="0"/>
                <w:sz w:val="17"/>
              </w:rPr>
              <w:t>Prompt registry/version/hash TBC</w:t>
            </w:r>
          </w:p>
        </w:tc>
      </w:tr>
      <w:tr>
        <w:tc>
          <w:tcPr>
            <w:tcW w:type="dxa" w:w="2268"/>
            <w:vAlign w:val="center"/>
            <w:shd w:fill="F3F6F8"/>
          </w:tcPr>
          <w:p>
            <w:pPr>
              <w:spacing w:after="0"/>
            </w:pPr>
            <w:r/>
            <w:r>
              <w:rPr>
                <w:rFonts w:ascii="Aptos" w:hAnsi="Aptos"/>
                <w:b w:val="0"/>
                <w:sz w:val="17"/>
              </w:rPr>
              <w:t>Data schemas</w:t>
            </w:r>
          </w:p>
        </w:tc>
        <w:tc>
          <w:tcPr>
            <w:tcW w:type="dxa" w:w="4535"/>
            <w:vAlign w:val="center"/>
          </w:tcPr>
          <w:p>
            <w:pPr>
              <w:spacing w:after="0"/>
            </w:pPr>
            <w:r/>
            <w:r>
              <w:rPr>
                <w:rFonts w:ascii="Aptos" w:hAnsi="Aptos"/>
                <w:b w:val="0"/>
                <w:sz w:val="17"/>
              </w:rPr>
              <w:t>Backend models/migrations and MCP database modules</w:t>
            </w:r>
          </w:p>
        </w:tc>
        <w:tc>
          <w:tcPr>
            <w:tcW w:type="dxa" w:w="3402"/>
            <w:vAlign w:val="center"/>
          </w:tcPr>
          <w:p>
            <w:pPr>
              <w:spacing w:after="0"/>
            </w:pPr>
            <w:r/>
            <w:r>
              <w:rPr>
                <w:rFonts w:ascii="Aptos" w:hAnsi="Aptos"/>
                <w:b w:val="0"/>
                <w:sz w:val="17"/>
              </w:rPr>
              <w:t>Versioned schema migration record TBC</w:t>
            </w:r>
          </w:p>
        </w:tc>
      </w:tr>
      <w:tr>
        <w:tc>
          <w:tcPr>
            <w:tcW w:type="dxa" w:w="2268"/>
            <w:vAlign w:val="center"/>
            <w:shd w:fill="F3F6F8"/>
          </w:tcPr>
          <w:p>
            <w:pPr>
              <w:spacing w:after="0"/>
            </w:pPr>
            <w:r/>
            <w:r>
              <w:rPr>
                <w:rFonts w:ascii="Aptos" w:hAnsi="Aptos"/>
                <w:b w:val="0"/>
                <w:sz w:val="17"/>
              </w:rPr>
              <w:t>Environment configuration</w:t>
            </w:r>
          </w:p>
        </w:tc>
        <w:tc>
          <w:tcPr>
            <w:tcW w:type="dxa" w:w="4535"/>
            <w:vAlign w:val="center"/>
          </w:tcPr>
          <w:p>
            <w:pPr>
              <w:spacing w:after="0"/>
            </w:pPr>
            <w:r/>
            <w:r>
              <w:rPr>
                <w:rFonts w:ascii="Aptos" w:hAnsi="Aptos"/>
                <w:b w:val="0"/>
                <w:sz w:val="17"/>
              </w:rPr>
              <w:t>backend/.env.example and mcp/.env.example</w:t>
            </w:r>
          </w:p>
        </w:tc>
        <w:tc>
          <w:tcPr>
            <w:tcW w:type="dxa" w:w="3402"/>
            <w:vAlign w:val="center"/>
          </w:tcPr>
          <w:p>
            <w:pPr>
              <w:spacing w:after="0"/>
            </w:pPr>
            <w:r/>
            <w:r>
              <w:rPr>
                <w:rFonts w:ascii="Aptos" w:hAnsi="Aptos"/>
                <w:b w:val="0"/>
                <w:sz w:val="17"/>
              </w:rPr>
              <w:t>Deployment-specific approved configuration TBC</w:t>
            </w:r>
          </w:p>
        </w:tc>
      </w:tr>
      <w:tr>
        <w:tc>
          <w:tcPr>
            <w:tcW w:type="dxa" w:w="2268"/>
            <w:vAlign w:val="center"/>
            <w:shd w:fill="F3F6F8"/>
          </w:tcPr>
          <w:p>
            <w:pPr>
              <w:spacing w:after="0"/>
            </w:pPr>
            <w:r/>
            <w:r>
              <w:rPr>
                <w:rFonts w:ascii="Aptos" w:hAnsi="Aptos"/>
                <w:b w:val="0"/>
                <w:sz w:val="17"/>
              </w:rPr>
              <w:t>Model/evaluator IDs</w:t>
            </w:r>
          </w:p>
        </w:tc>
        <w:tc>
          <w:tcPr>
            <w:tcW w:type="dxa" w:w="4535"/>
            <w:vAlign w:val="center"/>
          </w:tcPr>
          <w:p>
            <w:pPr>
              <w:spacing w:after="0"/>
            </w:pPr>
            <w:r/>
            <w:r>
              <w:rPr>
                <w:rFonts w:ascii="Aptos" w:hAnsi="Aptos"/>
                <w:b w:val="0"/>
                <w:sz w:val="17"/>
              </w:rPr>
              <w:t>Environment/account configuration</w:t>
            </w:r>
          </w:p>
        </w:tc>
        <w:tc>
          <w:tcPr>
            <w:tcW w:type="dxa" w:w="3402"/>
            <w:vAlign w:val="center"/>
          </w:tcPr>
          <w:p>
            <w:pPr>
              <w:spacing w:after="0"/>
            </w:pPr>
            <w:r/>
            <w:r>
              <w:rPr>
                <w:rFonts w:ascii="Aptos" w:hAnsi="Aptos"/>
                <w:b w:val="0"/>
                <w:sz w:val="17"/>
              </w:rPr>
              <w:t>Per-run and per-release registry TBC</w:t>
            </w:r>
          </w:p>
        </w:tc>
      </w:tr>
      <w:tr>
        <w:tc>
          <w:tcPr>
            <w:tcW w:type="dxa" w:w="2268"/>
            <w:vAlign w:val="center"/>
            <w:shd w:fill="F3F6F8"/>
          </w:tcPr>
          <w:p>
            <w:pPr>
              <w:spacing w:after="0"/>
            </w:pPr>
            <w:r/>
            <w:r>
              <w:rPr>
                <w:rFonts w:ascii="Aptos" w:hAnsi="Aptos"/>
                <w:b w:val="0"/>
                <w:sz w:val="17"/>
              </w:rPr>
              <w:t>Documents</w:t>
            </w:r>
          </w:p>
        </w:tc>
        <w:tc>
          <w:tcPr>
            <w:tcW w:type="dxa" w:w="4535"/>
            <w:vAlign w:val="center"/>
          </w:tcPr>
          <w:p>
            <w:pPr>
              <w:spacing w:after="0"/>
            </w:pPr>
            <w:r/>
            <w:r>
              <w:rPr>
                <w:rFonts w:ascii="Aptos" w:hAnsi="Aptos"/>
                <w:b w:val="0"/>
                <w:sz w:val="17"/>
              </w:rPr>
              <w:t>This file v1.0 plus architecture/install/README</w:t>
            </w:r>
          </w:p>
        </w:tc>
        <w:tc>
          <w:tcPr>
            <w:tcW w:type="dxa" w:w="3402"/>
            <w:vAlign w:val="center"/>
          </w:tcPr>
          <w:p>
            <w:pPr>
              <w:spacing w:after="0"/>
            </w:pPr>
            <w:r/>
            <w:r>
              <w:rPr>
                <w:rFonts w:ascii="Aptos" w:hAnsi="Aptos"/>
                <w:b w:val="0"/>
                <w:sz w:val="17"/>
              </w:rPr>
              <w:t>Controlled document repository TBC</w:t>
            </w:r>
          </w:p>
        </w:tc>
      </w:tr>
    </w:tbl>
    <w:p>
      <w:pPr>
        <w:spacing w:after="0"/>
      </w:pPr>
    </w:p>
    <w:p>
      <w:pPr>
        <w:pStyle w:val="Heading2"/>
      </w:pPr>
      <w:r>
        <w:t>12.2 Change log</w:t>
      </w:r>
    </w:p>
    <w:tbl>
      <w:tblPr>
        <w:tblStyle w:val="TableGrid"/>
        <w:tblW w:type="auto" w:w="0"/>
        <w:jc w:val="center"/>
        <w:tblLook w:firstColumn="1" w:firstRow="1" w:lastColumn="0" w:lastRow="0" w:noHBand="0" w:noVBand="1" w:val="04A0"/>
      </w:tblPr>
      <w:tblGrid>
        <w:gridCol w:w="1433"/>
        <w:gridCol w:w="1433"/>
        <w:gridCol w:w="1433"/>
        <w:gridCol w:w="1433"/>
        <w:gridCol w:w="1433"/>
        <w:gridCol w:w="1433"/>
        <w:gridCol w:w="1433"/>
      </w:tblGrid>
      <w:tr>
        <w:tc>
          <w:tcPr>
            <w:tcW w:type="dxa" w:w="1020"/>
            <w:vAlign w:val="center"/>
            <w:shd w:fill="17365D"/>
          </w:tcPr>
          <w:p>
            <w:pPr>
              <w:spacing w:after="0"/>
            </w:pPr>
            <w:r/>
            <w:r>
              <w:rPr>
                <w:rFonts w:ascii="Aptos" w:hAnsi="Aptos"/>
                <w:b/>
                <w:color w:val="FFFFFF"/>
                <w:sz w:val="15"/>
              </w:rPr>
              <w:t>Change ID</w:t>
            </w:r>
          </w:p>
        </w:tc>
        <w:tc>
          <w:tcPr>
            <w:tcW w:type="dxa" w:w="1247"/>
            <w:vAlign w:val="center"/>
            <w:shd w:fill="17365D"/>
          </w:tcPr>
          <w:p>
            <w:pPr>
              <w:spacing w:after="0"/>
            </w:pPr>
            <w:r/>
            <w:r>
              <w:rPr>
                <w:rFonts w:ascii="Aptos" w:hAnsi="Aptos"/>
                <w:b/>
                <w:color w:val="FFFFFF"/>
                <w:sz w:val="15"/>
              </w:rPr>
              <w:t>Date</w:t>
            </w:r>
          </w:p>
        </w:tc>
        <w:tc>
          <w:tcPr>
            <w:tcW w:type="dxa" w:w="1587"/>
            <w:vAlign w:val="center"/>
            <w:shd w:fill="17365D"/>
          </w:tcPr>
          <w:p>
            <w:pPr>
              <w:spacing w:after="0"/>
            </w:pPr>
            <w:r/>
            <w:r>
              <w:rPr>
                <w:rFonts w:ascii="Aptos" w:hAnsi="Aptos"/>
                <w:b/>
                <w:color w:val="FFFFFF"/>
                <w:sz w:val="15"/>
              </w:rPr>
              <w:t>Before / after version</w:t>
            </w:r>
          </w:p>
        </w:tc>
        <w:tc>
          <w:tcPr>
            <w:tcW w:type="dxa" w:w="2835"/>
            <w:vAlign w:val="center"/>
            <w:shd w:fill="17365D"/>
          </w:tcPr>
          <w:p>
            <w:pPr>
              <w:spacing w:after="0"/>
            </w:pPr>
            <w:r/>
            <w:r>
              <w:rPr>
                <w:rFonts w:ascii="Aptos" w:hAnsi="Aptos"/>
                <w:b/>
                <w:color w:val="FFFFFF"/>
                <w:sz w:val="15"/>
              </w:rPr>
              <w:t>Description and rationale</w:t>
            </w:r>
          </w:p>
        </w:tc>
        <w:tc>
          <w:tcPr>
            <w:tcW w:type="dxa" w:w="1417"/>
            <w:vAlign w:val="center"/>
            <w:shd w:fill="17365D"/>
          </w:tcPr>
          <w:p>
            <w:pPr>
              <w:spacing w:after="0"/>
            </w:pPr>
            <w:r/>
            <w:r>
              <w:rPr>
                <w:rFonts w:ascii="Aptos" w:hAnsi="Aptos"/>
                <w:b/>
                <w:color w:val="FFFFFF"/>
                <w:sz w:val="15"/>
              </w:rPr>
              <w:t>Impact/risk</w:t>
            </w:r>
          </w:p>
        </w:tc>
        <w:tc>
          <w:tcPr>
            <w:tcW w:type="dxa" w:w="1417"/>
            <w:vAlign w:val="center"/>
            <w:shd w:fill="17365D"/>
          </w:tcPr>
          <w:p>
            <w:pPr>
              <w:spacing w:after="0"/>
            </w:pPr>
            <w:r/>
            <w:r>
              <w:rPr>
                <w:rFonts w:ascii="Aptos" w:hAnsi="Aptos"/>
                <w:b/>
                <w:color w:val="FFFFFF"/>
                <w:sz w:val="15"/>
              </w:rPr>
              <w:t>Validation</w:t>
            </w:r>
          </w:p>
        </w:tc>
        <w:tc>
          <w:tcPr>
            <w:tcW w:type="dxa" w:w="1417"/>
            <w:vAlign w:val="center"/>
            <w:shd w:fill="17365D"/>
          </w:tcPr>
          <w:p>
            <w:pPr>
              <w:spacing w:after="0"/>
            </w:pPr>
            <w:r/>
            <w:r>
              <w:rPr>
                <w:rFonts w:ascii="Aptos" w:hAnsi="Aptos"/>
                <w:b/>
                <w:color w:val="FFFFFF"/>
                <w:sz w:val="15"/>
              </w:rPr>
              <w:t>Approvals</w:t>
            </w:r>
          </w:p>
        </w:tc>
      </w:tr>
      <w:tr>
        <w:tc>
          <w:tcPr>
            <w:tcW w:type="dxa" w:w="1020"/>
            <w:vAlign w:val="center"/>
            <w:shd w:fill="F3F6F8"/>
          </w:tcPr>
          <w:p>
            <w:pPr>
              <w:spacing w:after="0"/>
            </w:pPr>
            <w:r/>
            <w:r>
              <w:rPr>
                <w:rFonts w:ascii="Aptos" w:hAnsi="Aptos"/>
                <w:b w:val="0"/>
                <w:sz w:val="15"/>
              </w:rPr>
              <w:t>Initial</w:t>
            </w:r>
          </w:p>
        </w:tc>
        <w:tc>
          <w:tcPr>
            <w:tcW w:type="dxa" w:w="1247"/>
            <w:vAlign w:val="center"/>
          </w:tcPr>
          <w:p>
            <w:pPr>
              <w:spacing w:after="0"/>
            </w:pPr>
            <w:r/>
            <w:r>
              <w:rPr>
                <w:rFonts w:ascii="Aptos" w:hAnsi="Aptos"/>
                <w:b w:val="0"/>
                <w:sz w:val="15"/>
              </w:rPr>
              <w:t>18-Sep-2026</w:t>
            </w:r>
          </w:p>
        </w:tc>
        <w:tc>
          <w:tcPr>
            <w:tcW w:type="dxa" w:w="1587"/>
            <w:vAlign w:val="center"/>
          </w:tcPr>
          <w:p>
            <w:pPr>
              <w:spacing w:after="0"/>
            </w:pPr>
            <w:r/>
            <w:r>
              <w:rPr>
                <w:rFonts w:ascii="Aptos" w:hAnsi="Aptos"/>
                <w:b w:val="0"/>
                <w:sz w:val="15"/>
              </w:rPr>
              <w:t>— / v1.0</w:t>
            </w:r>
          </w:p>
        </w:tc>
        <w:tc>
          <w:tcPr>
            <w:tcW w:type="dxa" w:w="2835"/>
            <w:vAlign w:val="center"/>
          </w:tcPr>
          <w:p>
            <w:pPr>
              <w:spacing w:after="0"/>
            </w:pPr>
            <w:r/>
            <w:r>
              <w:rPr>
                <w:rFonts w:ascii="Aptos" w:hAnsi="Aptos"/>
                <w:b w:val="0"/>
                <w:sz w:val="15"/>
              </w:rPr>
              <w:t>Initial technical-documentation baseline</w:t>
            </w:r>
          </w:p>
        </w:tc>
        <w:tc>
          <w:tcPr>
            <w:tcW w:type="dxa" w:w="1417"/>
            <w:vAlign w:val="center"/>
          </w:tcPr>
          <w:p>
            <w:pPr>
              <w:spacing w:after="0"/>
            </w:pPr>
            <w:r/>
            <w:r>
              <w:rPr>
                <w:rFonts w:ascii="Aptos" w:hAnsi="Aptos"/>
                <w:b w:val="0"/>
                <w:sz w:val="15"/>
              </w:rPr>
              <w:t>Documentation only</w:t>
            </w:r>
          </w:p>
        </w:tc>
        <w:tc>
          <w:tcPr>
            <w:tcW w:type="dxa" w:w="1417"/>
            <w:vAlign w:val="center"/>
          </w:tcPr>
          <w:p>
            <w:pPr>
              <w:spacing w:after="0"/>
            </w:pPr>
            <w:r/>
            <w:r>
              <w:rPr>
                <w:rFonts w:ascii="Aptos" w:hAnsi="Aptos"/>
                <w:b w:val="0"/>
                <w:sz w:val="15"/>
              </w:rPr>
              <w:t>Repository evidence review</w:t>
            </w:r>
          </w:p>
        </w:tc>
        <w:tc>
          <w:tcPr>
            <w:tcW w:type="dxa" w:w="1417"/>
            <w:vAlign w:val="center"/>
          </w:tcPr>
          <w:p>
            <w:pPr>
              <w:spacing w:after="0"/>
            </w:pPr>
            <w:r/>
            <w:r>
              <w:rPr>
                <w:rFonts w:ascii="Aptos" w:hAnsi="Aptos"/>
                <w:b w:val="0"/>
                <w:sz w:val="15"/>
              </w:rPr>
              <w:t>Pending</w:t>
            </w:r>
          </w:p>
        </w:tc>
      </w:tr>
      <w:tr>
        <w:tc>
          <w:tcPr>
            <w:tcW w:type="dxa" w:w="1020"/>
            <w:vAlign w:val="center"/>
            <w:shd w:fill="F3F6F8"/>
          </w:tcPr>
          <w:p>
            <w:pPr>
              <w:spacing w:after="0"/>
            </w:pPr>
            <w:r/>
            <w:r>
              <w:rPr>
                <w:rFonts w:ascii="Aptos" w:hAnsi="Aptos"/>
                <w:b w:val="0"/>
                <w:sz w:val="15"/>
              </w:rPr>
              <w:t>TBC</w:t>
            </w:r>
          </w:p>
        </w:tc>
        <w:tc>
          <w:tcPr>
            <w:tcW w:type="dxa" w:w="1247"/>
            <w:vAlign w:val="center"/>
          </w:tcPr>
          <w:p>
            <w:pPr>
              <w:spacing w:after="0"/>
            </w:pPr>
            <w:r/>
            <w:r>
              <w:rPr>
                <w:rFonts w:ascii="Aptos" w:hAnsi="Aptos"/>
                <w:b w:val="0"/>
                <w:sz w:val="15"/>
              </w:rPr>
              <w:t>TBC</w:t>
            </w:r>
          </w:p>
        </w:tc>
        <w:tc>
          <w:tcPr>
            <w:tcW w:type="dxa" w:w="1587"/>
            <w:vAlign w:val="center"/>
          </w:tcPr>
          <w:p>
            <w:pPr>
              <w:spacing w:after="0"/>
            </w:pPr>
            <w:r/>
            <w:r>
              <w:rPr>
                <w:rFonts w:ascii="Aptos" w:hAnsi="Aptos"/>
                <w:b w:val="0"/>
                <w:sz w:val="15"/>
              </w:rPr>
              <w:t>TBC</w:t>
            </w:r>
          </w:p>
        </w:tc>
        <w:tc>
          <w:tcPr>
            <w:tcW w:type="dxa" w:w="2835"/>
            <w:vAlign w:val="center"/>
          </w:tcPr>
          <w:p>
            <w:pPr>
              <w:spacing w:after="0"/>
            </w:pPr>
            <w:r/>
            <w:r>
              <w:rPr>
                <w:rFonts w:ascii="Aptos" w:hAnsi="Aptos"/>
                <w:b w:val="0"/>
                <w:sz w:val="15"/>
              </w:rPr>
              <w:t>TBC</w:t>
            </w:r>
          </w:p>
        </w:tc>
        <w:tc>
          <w:tcPr>
            <w:tcW w:type="dxa" w:w="1417"/>
            <w:vAlign w:val="center"/>
          </w:tcPr>
          <w:p>
            <w:pPr>
              <w:spacing w:after="0"/>
            </w:pPr>
            <w:r/>
            <w:r>
              <w:rPr>
                <w:rFonts w:ascii="Aptos" w:hAnsi="Aptos"/>
                <w:b w:val="0"/>
                <w:sz w:val="15"/>
              </w:rPr>
              <w:t>TBC</w:t>
            </w:r>
          </w:p>
        </w:tc>
        <w:tc>
          <w:tcPr>
            <w:tcW w:type="dxa" w:w="1417"/>
            <w:vAlign w:val="center"/>
          </w:tcPr>
          <w:p>
            <w:pPr>
              <w:spacing w:after="0"/>
            </w:pPr>
            <w:r/>
            <w:r>
              <w:rPr>
                <w:rFonts w:ascii="Aptos" w:hAnsi="Aptos"/>
                <w:b w:val="0"/>
                <w:sz w:val="15"/>
              </w:rPr>
              <w:t>TBC</w:t>
            </w:r>
          </w:p>
        </w:tc>
        <w:tc>
          <w:tcPr>
            <w:tcW w:type="dxa" w:w="1417"/>
            <w:vAlign w:val="center"/>
          </w:tcPr>
          <w:p>
            <w:pPr>
              <w:spacing w:after="0"/>
            </w:pPr>
            <w:r/>
            <w:r>
              <w:rPr>
                <w:rFonts w:ascii="Aptos" w:hAnsi="Aptos"/>
                <w:b w:val="0"/>
                <w:sz w:val="15"/>
              </w:rPr>
              <w:t>TBC</w:t>
            </w:r>
          </w:p>
        </w:tc>
      </w:tr>
    </w:tbl>
    <w:p>
      <w:pPr>
        <w:spacing w:after="0"/>
      </w:pPr>
    </w:p>
    <w:p>
      <w:pPr>
        <w:pStyle w:val="Heading2"/>
      </w:pPr>
      <w:r>
        <w:t>12.3 Release gate</w:t>
      </w:r>
    </w:p>
    <w:p>
      <w:pPr>
        <w:pStyle w:val="ListBullet"/>
      </w:pPr>
      <w:r>
        <w:t>Approved intended purpose, regulatory classification and role mapping.</w:t>
      </w:r>
    </w:p>
    <w:p>
      <w:pPr>
        <w:pStyle w:val="ListBullet"/>
      </w:pPr>
      <w:r>
        <w:t>Traceable source, dependency, model, prompt, configuration and dataset baseline.</w:t>
      </w:r>
    </w:p>
    <w:p>
      <w:pPr>
        <w:pStyle w:val="ListBullet"/>
      </w:pPr>
      <w:r>
        <w:t>All critical tests passed; residual defects and risks explicitly accepted.</w:t>
      </w:r>
    </w:p>
    <w:p>
      <w:pPr>
        <w:pStyle w:val="ListBullet"/>
      </w:pPr>
      <w:r>
        <w:t>Security/privacy reviews complete; supplier and data-processing conditions approved.</w:t>
      </w:r>
    </w:p>
    <w:p>
      <w:pPr>
        <w:pStyle w:val="ListBullet"/>
      </w:pPr>
      <w:r>
        <w:t>Instructions for Use, training, support, incident response, rollback and monitoring operational.</w:t>
      </w:r>
    </w:p>
    <w:p>
      <w:pPr>
        <w:pStyle w:val="ListBullet"/>
      </w:pPr>
      <w:r>
        <w:t>Technical file, declaration/conformity artifacts and post-market plan approved and archived.</w:t>
      </w:r>
    </w:p>
    <w:p>
      <w:pPr>
        <w:pStyle w:val="Heading1"/>
      </w:pPr>
      <w:r>
        <w:t>13. Harmonised standards and technical specifications</w:t>
      </w:r>
    </w:p>
    <w:p>
      <w:r>
        <w:t>The final standards set must be selected against the system's classification and conformity route. Do not mark a standard as applied until its controls have been mapped, implemented and evidenced.</w:t>
      </w: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2551"/>
            <w:vAlign w:val="center"/>
            <w:shd w:fill="17365D"/>
          </w:tcPr>
          <w:p>
            <w:pPr>
              <w:spacing w:after="0"/>
            </w:pPr>
            <w:r/>
            <w:r>
              <w:rPr>
                <w:rFonts w:ascii="Aptos" w:hAnsi="Aptos"/>
                <w:b/>
                <w:color w:val="FFFFFF"/>
                <w:sz w:val="17"/>
              </w:rPr>
              <w:t>Standard / specification</w:t>
            </w:r>
          </w:p>
        </w:tc>
        <w:tc>
          <w:tcPr>
            <w:tcW w:type="dxa" w:w="3118"/>
            <w:vAlign w:val="center"/>
            <w:shd w:fill="17365D"/>
          </w:tcPr>
          <w:p>
            <w:pPr>
              <w:spacing w:after="0"/>
            </w:pPr>
            <w:r/>
            <w:r>
              <w:rPr>
                <w:rFonts w:ascii="Aptos" w:hAnsi="Aptos"/>
                <w:b/>
                <w:color w:val="FFFFFF"/>
                <w:sz w:val="17"/>
              </w:rPr>
              <w:t>Potential relevance</w:t>
            </w:r>
          </w:p>
        </w:tc>
        <w:tc>
          <w:tcPr>
            <w:tcW w:type="dxa" w:w="1984"/>
            <w:vAlign w:val="center"/>
            <w:shd w:fill="17365D"/>
          </w:tcPr>
          <w:p>
            <w:pPr>
              <w:spacing w:after="0"/>
            </w:pPr>
            <w:r/>
            <w:r>
              <w:rPr>
                <w:rFonts w:ascii="Aptos" w:hAnsi="Aptos"/>
                <w:b/>
                <w:color w:val="FFFFFF"/>
                <w:sz w:val="17"/>
              </w:rPr>
              <w:t>Application status</w:t>
            </w:r>
          </w:p>
        </w:tc>
        <w:tc>
          <w:tcPr>
            <w:tcW w:type="dxa" w:w="2551"/>
            <w:vAlign w:val="center"/>
            <w:shd w:fill="17365D"/>
          </w:tcPr>
          <w:p>
            <w:pPr>
              <w:spacing w:after="0"/>
            </w:pPr>
            <w:r/>
            <w:r>
              <w:rPr>
                <w:rFonts w:ascii="Aptos" w:hAnsi="Aptos"/>
                <w:b/>
                <w:color w:val="FFFFFF"/>
                <w:sz w:val="17"/>
              </w:rPr>
              <w:t>Evidence / deviations</w:t>
            </w:r>
          </w:p>
        </w:tc>
      </w:tr>
      <w:tr>
        <w:tc>
          <w:tcPr>
            <w:tcW w:type="dxa" w:w="2551"/>
            <w:vAlign w:val="center"/>
            <w:shd w:fill="F3F6F8"/>
          </w:tcPr>
          <w:p>
            <w:pPr>
              <w:spacing w:after="0"/>
            </w:pPr>
            <w:r/>
            <w:r>
              <w:rPr>
                <w:rFonts w:ascii="Aptos" w:hAnsi="Aptos"/>
                <w:b w:val="0"/>
                <w:sz w:val="17"/>
              </w:rPr>
              <w:t>EU AI Act harmonised standards cited in the Official Journal</w:t>
            </w:r>
          </w:p>
        </w:tc>
        <w:tc>
          <w:tcPr>
            <w:tcW w:type="dxa" w:w="3118"/>
            <w:vAlign w:val="center"/>
          </w:tcPr>
          <w:p>
            <w:pPr>
              <w:spacing w:after="0"/>
            </w:pPr>
            <w:r/>
            <w:r>
              <w:rPr>
                <w:rFonts w:ascii="Aptos" w:hAnsi="Aptos"/>
                <w:b w:val="0"/>
                <w:sz w:val="17"/>
              </w:rPr>
              <w:t>Presumption of conformity for covered requirements</w:t>
            </w:r>
          </w:p>
        </w:tc>
        <w:tc>
          <w:tcPr>
            <w:tcW w:type="dxa" w:w="1984"/>
            <w:vAlign w:val="center"/>
          </w:tcPr>
          <w:p>
            <w:pPr>
              <w:spacing w:after="0"/>
            </w:pPr>
            <w:r/>
            <w:r>
              <w:rPr>
                <w:rFonts w:ascii="Aptos" w:hAnsi="Aptos"/>
                <w:b w:val="0"/>
                <w:sz w:val="17"/>
              </w:rPr>
              <w:t>TBC — verify current OJ citations at assessment date</w:t>
            </w:r>
          </w:p>
        </w:tc>
        <w:tc>
          <w:tcPr>
            <w:tcW w:type="dxa" w:w="2551"/>
            <w:vAlign w:val="center"/>
          </w:tcPr>
          <w:p>
            <w:pPr>
              <w:spacing w:after="0"/>
            </w:pPr>
            <w:r/>
            <w:r>
              <w:rPr>
                <w:rFonts w:ascii="Aptos" w:hAnsi="Aptos"/>
                <w:b w:val="0"/>
                <w:sz w:val="17"/>
              </w:rPr>
              <w:t>Standards applicability matrix TBC</w:t>
            </w:r>
          </w:p>
        </w:tc>
      </w:tr>
      <w:tr>
        <w:tc>
          <w:tcPr>
            <w:tcW w:type="dxa" w:w="2551"/>
            <w:vAlign w:val="center"/>
            <w:shd w:fill="F3F6F8"/>
          </w:tcPr>
          <w:p>
            <w:pPr>
              <w:spacing w:after="0"/>
            </w:pPr>
            <w:r/>
            <w:r>
              <w:rPr>
                <w:rFonts w:ascii="Aptos" w:hAnsi="Aptos"/>
                <w:b w:val="0"/>
                <w:sz w:val="17"/>
              </w:rPr>
              <w:t>ISO/IEC 42001</w:t>
            </w:r>
          </w:p>
        </w:tc>
        <w:tc>
          <w:tcPr>
            <w:tcW w:type="dxa" w:w="3118"/>
            <w:vAlign w:val="center"/>
          </w:tcPr>
          <w:p>
            <w:pPr>
              <w:spacing w:after="0"/>
            </w:pPr>
            <w:r/>
            <w:r>
              <w:rPr>
                <w:rFonts w:ascii="Aptos" w:hAnsi="Aptos"/>
                <w:b w:val="0"/>
                <w:sz w:val="17"/>
              </w:rPr>
              <w:t>AI management system</w:t>
            </w:r>
          </w:p>
        </w:tc>
        <w:tc>
          <w:tcPr>
            <w:tcW w:type="dxa" w:w="1984"/>
            <w:vAlign w:val="center"/>
          </w:tcPr>
          <w:p>
            <w:pPr>
              <w:spacing w:after="0"/>
            </w:pPr>
            <w:r/>
            <w:r>
              <w:rPr>
                <w:rFonts w:ascii="Aptos" w:hAnsi="Aptos"/>
                <w:b w:val="0"/>
                <w:sz w:val="17"/>
              </w:rPr>
              <w:t>Candidate; not claimed</w:t>
            </w:r>
          </w:p>
        </w:tc>
        <w:tc>
          <w:tcPr>
            <w:tcW w:type="dxa" w:w="2551"/>
            <w:vAlign w:val="center"/>
          </w:tcPr>
          <w:p>
            <w:pPr>
              <w:spacing w:after="0"/>
            </w:pPr>
            <w:r/>
            <w:r>
              <w:rPr>
                <w:rFonts w:ascii="Aptos" w:hAnsi="Aptos"/>
                <w:b w:val="0"/>
                <w:sz w:val="17"/>
              </w:rPr>
              <w:t>Certification/control mapping TBC</w:t>
            </w:r>
          </w:p>
        </w:tc>
      </w:tr>
      <w:tr>
        <w:tc>
          <w:tcPr>
            <w:tcW w:type="dxa" w:w="2551"/>
            <w:vAlign w:val="center"/>
            <w:shd w:fill="F3F6F8"/>
          </w:tcPr>
          <w:p>
            <w:pPr>
              <w:spacing w:after="0"/>
            </w:pPr>
            <w:r/>
            <w:r>
              <w:rPr>
                <w:rFonts w:ascii="Aptos" w:hAnsi="Aptos"/>
                <w:b w:val="0"/>
                <w:sz w:val="17"/>
              </w:rPr>
              <w:t>ISO/IEC 23894</w:t>
            </w:r>
          </w:p>
        </w:tc>
        <w:tc>
          <w:tcPr>
            <w:tcW w:type="dxa" w:w="3118"/>
            <w:vAlign w:val="center"/>
          </w:tcPr>
          <w:p>
            <w:pPr>
              <w:spacing w:after="0"/>
            </w:pPr>
            <w:r/>
            <w:r>
              <w:rPr>
                <w:rFonts w:ascii="Aptos" w:hAnsi="Aptos"/>
                <w:b w:val="0"/>
                <w:sz w:val="17"/>
              </w:rPr>
              <w:t>AI risk management guidance</w:t>
            </w:r>
          </w:p>
        </w:tc>
        <w:tc>
          <w:tcPr>
            <w:tcW w:type="dxa" w:w="1984"/>
            <w:vAlign w:val="center"/>
          </w:tcPr>
          <w:p>
            <w:pPr>
              <w:spacing w:after="0"/>
            </w:pPr>
            <w:r/>
            <w:r>
              <w:rPr>
                <w:rFonts w:ascii="Aptos" w:hAnsi="Aptos"/>
                <w:b w:val="0"/>
                <w:sz w:val="17"/>
              </w:rPr>
              <w:t>Candidate; not claimed</w:t>
            </w:r>
          </w:p>
        </w:tc>
        <w:tc>
          <w:tcPr>
            <w:tcW w:type="dxa" w:w="2551"/>
            <w:vAlign w:val="center"/>
          </w:tcPr>
          <w:p>
            <w:pPr>
              <w:spacing w:after="0"/>
            </w:pPr>
            <w:r/>
            <w:r>
              <w:rPr>
                <w:rFonts w:ascii="Aptos" w:hAnsi="Aptos"/>
                <w:b w:val="0"/>
                <w:sz w:val="17"/>
              </w:rPr>
              <w:t>Risk-process mapping TBC</w:t>
            </w:r>
          </w:p>
        </w:tc>
      </w:tr>
      <w:tr>
        <w:tc>
          <w:tcPr>
            <w:tcW w:type="dxa" w:w="2551"/>
            <w:vAlign w:val="center"/>
            <w:shd w:fill="F3F6F8"/>
          </w:tcPr>
          <w:p>
            <w:pPr>
              <w:spacing w:after="0"/>
            </w:pPr>
            <w:r/>
            <w:r>
              <w:rPr>
                <w:rFonts w:ascii="Aptos" w:hAnsi="Aptos"/>
                <w:b w:val="0"/>
                <w:sz w:val="17"/>
              </w:rPr>
              <w:t>ISO/IEC 27001 / 27002</w:t>
            </w:r>
          </w:p>
        </w:tc>
        <w:tc>
          <w:tcPr>
            <w:tcW w:type="dxa" w:w="3118"/>
            <w:vAlign w:val="center"/>
          </w:tcPr>
          <w:p>
            <w:pPr>
              <w:spacing w:after="0"/>
            </w:pPr>
            <w:r/>
            <w:r>
              <w:rPr>
                <w:rFonts w:ascii="Aptos" w:hAnsi="Aptos"/>
                <w:b w:val="0"/>
                <w:sz w:val="17"/>
              </w:rPr>
              <w:t>Information security management and controls</w:t>
            </w:r>
          </w:p>
        </w:tc>
        <w:tc>
          <w:tcPr>
            <w:tcW w:type="dxa" w:w="1984"/>
            <w:vAlign w:val="center"/>
          </w:tcPr>
          <w:p>
            <w:pPr>
              <w:spacing w:after="0"/>
            </w:pPr>
            <w:r/>
            <w:r>
              <w:rPr>
                <w:rFonts w:ascii="Aptos" w:hAnsi="Aptos"/>
                <w:b w:val="0"/>
                <w:sz w:val="17"/>
              </w:rPr>
              <w:t>Organizational status TBC</w:t>
            </w:r>
          </w:p>
        </w:tc>
        <w:tc>
          <w:tcPr>
            <w:tcW w:type="dxa" w:w="2551"/>
            <w:vAlign w:val="center"/>
          </w:tcPr>
          <w:p>
            <w:pPr>
              <w:spacing w:after="0"/>
            </w:pPr>
            <w:r/>
            <w:r>
              <w:rPr>
                <w:rFonts w:ascii="Aptos" w:hAnsi="Aptos"/>
                <w:b w:val="0"/>
                <w:sz w:val="17"/>
              </w:rPr>
              <w:t>SoA/certificate/scope TBC</w:t>
            </w:r>
          </w:p>
        </w:tc>
      </w:tr>
      <w:tr>
        <w:tc>
          <w:tcPr>
            <w:tcW w:type="dxa" w:w="2551"/>
            <w:vAlign w:val="center"/>
            <w:shd w:fill="F3F6F8"/>
          </w:tcPr>
          <w:p>
            <w:pPr>
              <w:spacing w:after="0"/>
            </w:pPr>
            <w:r/>
            <w:r>
              <w:rPr>
                <w:rFonts w:ascii="Aptos" w:hAnsi="Aptos"/>
                <w:b w:val="0"/>
                <w:sz w:val="17"/>
              </w:rPr>
              <w:t>ISO/IEC 27701</w:t>
            </w:r>
          </w:p>
        </w:tc>
        <w:tc>
          <w:tcPr>
            <w:tcW w:type="dxa" w:w="3118"/>
            <w:vAlign w:val="center"/>
          </w:tcPr>
          <w:p>
            <w:pPr>
              <w:spacing w:after="0"/>
            </w:pPr>
            <w:r/>
            <w:r>
              <w:rPr>
                <w:rFonts w:ascii="Aptos" w:hAnsi="Aptos"/>
                <w:b w:val="0"/>
                <w:sz w:val="17"/>
              </w:rPr>
              <w:t>Privacy information management</w:t>
            </w:r>
          </w:p>
        </w:tc>
        <w:tc>
          <w:tcPr>
            <w:tcW w:type="dxa" w:w="1984"/>
            <w:vAlign w:val="center"/>
          </w:tcPr>
          <w:p>
            <w:pPr>
              <w:spacing w:after="0"/>
            </w:pPr>
            <w:r/>
            <w:r>
              <w:rPr>
                <w:rFonts w:ascii="Aptos" w:hAnsi="Aptos"/>
                <w:b w:val="0"/>
                <w:sz w:val="17"/>
              </w:rPr>
              <w:t>Candidate; not claimed</w:t>
            </w:r>
          </w:p>
        </w:tc>
        <w:tc>
          <w:tcPr>
            <w:tcW w:type="dxa" w:w="2551"/>
            <w:vAlign w:val="center"/>
          </w:tcPr>
          <w:p>
            <w:pPr>
              <w:spacing w:after="0"/>
            </w:pPr>
            <w:r/>
            <w:r>
              <w:rPr>
                <w:rFonts w:ascii="Aptos" w:hAnsi="Aptos"/>
                <w:b w:val="0"/>
                <w:sz w:val="17"/>
              </w:rPr>
              <w:t>Privacy control mapping TBC</w:t>
            </w:r>
          </w:p>
        </w:tc>
      </w:tr>
      <w:tr>
        <w:tc>
          <w:tcPr>
            <w:tcW w:type="dxa" w:w="2551"/>
            <w:vAlign w:val="center"/>
            <w:shd w:fill="F3F6F8"/>
          </w:tcPr>
          <w:p>
            <w:pPr>
              <w:spacing w:after="0"/>
            </w:pPr>
            <w:r/>
            <w:r>
              <w:rPr>
                <w:rFonts w:ascii="Aptos" w:hAnsi="Aptos"/>
                <w:b w:val="0"/>
                <w:sz w:val="17"/>
              </w:rPr>
              <w:t>ISO/IEC 25059</w:t>
            </w:r>
          </w:p>
        </w:tc>
        <w:tc>
          <w:tcPr>
            <w:tcW w:type="dxa" w:w="3118"/>
            <w:vAlign w:val="center"/>
          </w:tcPr>
          <w:p>
            <w:pPr>
              <w:spacing w:after="0"/>
            </w:pPr>
            <w:r/>
            <w:r>
              <w:rPr>
                <w:rFonts w:ascii="Aptos" w:hAnsi="Aptos"/>
                <w:b w:val="0"/>
                <w:sz w:val="17"/>
              </w:rPr>
              <w:t>Quality model for AI systems</w:t>
            </w:r>
          </w:p>
        </w:tc>
        <w:tc>
          <w:tcPr>
            <w:tcW w:type="dxa" w:w="1984"/>
            <w:vAlign w:val="center"/>
          </w:tcPr>
          <w:p>
            <w:pPr>
              <w:spacing w:after="0"/>
            </w:pPr>
            <w:r/>
            <w:r>
              <w:rPr>
                <w:rFonts w:ascii="Aptos" w:hAnsi="Aptos"/>
                <w:b w:val="0"/>
                <w:sz w:val="17"/>
              </w:rPr>
              <w:t>Candidate; not claimed</w:t>
            </w:r>
          </w:p>
        </w:tc>
        <w:tc>
          <w:tcPr>
            <w:tcW w:type="dxa" w:w="2551"/>
            <w:vAlign w:val="center"/>
          </w:tcPr>
          <w:p>
            <w:pPr>
              <w:spacing w:after="0"/>
            </w:pPr>
            <w:r/>
            <w:r>
              <w:rPr>
                <w:rFonts w:ascii="Aptos" w:hAnsi="Aptos"/>
                <w:b w:val="0"/>
                <w:sz w:val="17"/>
              </w:rPr>
              <w:t>Quality characteristics/test mapping TBC</w:t>
            </w:r>
          </w:p>
        </w:tc>
      </w:tr>
      <w:tr>
        <w:tc>
          <w:tcPr>
            <w:tcW w:type="dxa" w:w="2551"/>
            <w:vAlign w:val="center"/>
            <w:shd w:fill="F3F6F8"/>
          </w:tcPr>
          <w:p>
            <w:pPr>
              <w:spacing w:after="0"/>
            </w:pPr>
            <w:r/>
            <w:r>
              <w:rPr>
                <w:rFonts w:ascii="Aptos" w:hAnsi="Aptos"/>
                <w:b w:val="0"/>
                <w:sz w:val="17"/>
              </w:rPr>
              <w:t>NIST AI RMF 1.0 / GenAI Profile</w:t>
            </w:r>
          </w:p>
        </w:tc>
        <w:tc>
          <w:tcPr>
            <w:tcW w:type="dxa" w:w="3118"/>
            <w:vAlign w:val="center"/>
          </w:tcPr>
          <w:p>
            <w:pPr>
              <w:spacing w:after="0"/>
            </w:pPr>
            <w:r/>
            <w:r>
              <w:rPr>
                <w:rFonts w:ascii="Aptos" w:hAnsi="Aptos"/>
                <w:b w:val="0"/>
                <w:sz w:val="17"/>
              </w:rPr>
              <w:t>Voluntary AI risk framework</w:t>
            </w:r>
          </w:p>
        </w:tc>
        <w:tc>
          <w:tcPr>
            <w:tcW w:type="dxa" w:w="1984"/>
            <w:vAlign w:val="center"/>
          </w:tcPr>
          <w:p>
            <w:pPr>
              <w:spacing w:after="0"/>
            </w:pPr>
            <w:r/>
            <w:r>
              <w:rPr>
                <w:rFonts w:ascii="Aptos" w:hAnsi="Aptos"/>
                <w:b w:val="0"/>
                <w:sz w:val="17"/>
              </w:rPr>
              <w:t>Optional supporting reference</w:t>
            </w:r>
          </w:p>
        </w:tc>
        <w:tc>
          <w:tcPr>
            <w:tcW w:type="dxa" w:w="2551"/>
            <w:vAlign w:val="center"/>
          </w:tcPr>
          <w:p>
            <w:pPr>
              <w:spacing w:after="0"/>
            </w:pPr>
            <w:r/>
            <w:r>
              <w:rPr>
                <w:rFonts w:ascii="Aptos" w:hAnsi="Aptos"/>
                <w:b w:val="0"/>
                <w:sz w:val="17"/>
              </w:rPr>
              <w:t>Profile mapping TBC</w:t>
            </w:r>
          </w:p>
        </w:tc>
      </w:tr>
      <w:tr>
        <w:tc>
          <w:tcPr>
            <w:tcW w:type="dxa" w:w="2551"/>
            <w:vAlign w:val="center"/>
            <w:shd w:fill="F3F6F8"/>
          </w:tcPr>
          <w:p>
            <w:pPr>
              <w:spacing w:after="0"/>
            </w:pPr>
            <w:r/>
            <w:r>
              <w:rPr>
                <w:rFonts w:ascii="Aptos" w:hAnsi="Aptos"/>
                <w:b w:val="0"/>
                <w:sz w:val="17"/>
              </w:rPr>
              <w:t>OWASP guidance for LLM applications</w:t>
            </w:r>
          </w:p>
        </w:tc>
        <w:tc>
          <w:tcPr>
            <w:tcW w:type="dxa" w:w="3118"/>
            <w:vAlign w:val="center"/>
          </w:tcPr>
          <w:p>
            <w:pPr>
              <w:spacing w:after="0"/>
            </w:pPr>
            <w:r/>
            <w:r>
              <w:rPr>
                <w:rFonts w:ascii="Aptos" w:hAnsi="Aptos"/>
                <w:b w:val="0"/>
                <w:sz w:val="17"/>
              </w:rPr>
              <w:t>Application security and adversarial risks</w:t>
            </w:r>
          </w:p>
        </w:tc>
        <w:tc>
          <w:tcPr>
            <w:tcW w:type="dxa" w:w="1984"/>
            <w:vAlign w:val="center"/>
          </w:tcPr>
          <w:p>
            <w:pPr>
              <w:spacing w:after="0"/>
            </w:pPr>
            <w:r/>
            <w:r>
              <w:rPr>
                <w:rFonts w:ascii="Aptos" w:hAnsi="Aptos"/>
                <w:b w:val="0"/>
                <w:sz w:val="17"/>
              </w:rPr>
              <w:t>Candidate engineering reference</w:t>
            </w:r>
          </w:p>
        </w:tc>
        <w:tc>
          <w:tcPr>
            <w:tcW w:type="dxa" w:w="2551"/>
            <w:vAlign w:val="center"/>
          </w:tcPr>
          <w:p>
            <w:pPr>
              <w:spacing w:after="0"/>
            </w:pPr>
            <w:r/>
            <w:r>
              <w:rPr>
                <w:rFonts w:ascii="Aptos" w:hAnsi="Aptos"/>
                <w:b w:val="0"/>
                <w:sz w:val="17"/>
              </w:rPr>
              <w:t>Threat/control/test mapping TBC</w:t>
            </w:r>
          </w:p>
        </w:tc>
      </w:tr>
    </w:tbl>
    <w:p>
      <w:pPr>
        <w:spacing w:after="0"/>
      </w:pPr>
    </w:p>
    <w:p>
      <w:pPr>
        <w:pStyle w:val="Heading1"/>
      </w:pPr>
      <w:r>
        <w:t>14. Declaration of conformity and conformity assessment</w:t>
      </w:r>
    </w:p>
    <w:tbl>
      <w:tblPr>
        <w:tblStyle w:val="TableGrid"/>
        <w:tblW w:type="auto" w:w="0"/>
        <w:tblLook w:firstColumn="1" w:firstRow="1" w:lastColumn="0" w:lastRow="0" w:noHBand="0" w:noVBand="1" w:val="04A0"/>
      </w:tblPr>
      <w:tblGrid>
        <w:gridCol w:w="10029"/>
      </w:tblGrid>
      <w:tr>
        <w:tc>
          <w:tcPr>
            <w:tcW w:type="dxa" w:w="10029"/>
            <w:shd w:fill="FCE4D6"/>
          </w:tcPr>
          <w:p>
            <w:r>
              <w:rPr>
                <w:b/>
              </w:rPr>
              <w:t xml:space="preserve">Not issued: </w:t>
            </w:r>
            <w:r>
              <w:t>No EU declaration of conformity, CE marking decision, notified-body assessment or registration evidence was found in the inspected repository. This section is a completion checklist, not a declaration.</w:t>
            </w:r>
          </w:p>
        </w:tc>
      </w:tr>
    </w:tbl>
    <w:p>
      <w:pPr>
        <w:spacing w:after="0"/>
      </w:pPr>
    </w:p>
    <w:tbl>
      <w:tblPr>
        <w:tblStyle w:val="TableGrid"/>
        <w:tblW w:type="auto" w:w="0"/>
        <w:jc w:val="center"/>
        <w:tblLook w:firstColumn="1" w:firstRow="1" w:lastColumn="0" w:lastRow="0" w:noHBand="0" w:noVBand="1" w:val="04A0"/>
      </w:tblPr>
      <w:tblGrid>
        <w:gridCol w:w="5014"/>
        <w:gridCol w:w="5014"/>
      </w:tblGrid>
      <w:tr>
        <w:tc>
          <w:tcPr>
            <w:tcW w:type="dxa" w:w="3402"/>
            <w:vAlign w:val="center"/>
            <w:shd w:fill="17365D"/>
          </w:tcPr>
          <w:p>
            <w:pPr>
              <w:spacing w:after="0"/>
            </w:pPr>
            <w:r/>
            <w:r>
              <w:rPr>
                <w:rFonts w:ascii="Aptos" w:hAnsi="Aptos"/>
                <w:b/>
                <w:color w:val="FFFFFF"/>
                <w:sz w:val="17"/>
              </w:rPr>
              <w:t>Required item</w:t>
            </w:r>
          </w:p>
        </w:tc>
        <w:tc>
          <w:tcPr>
            <w:tcW w:type="dxa" w:w="6803"/>
            <w:vAlign w:val="center"/>
            <w:shd w:fill="17365D"/>
          </w:tcPr>
          <w:p>
            <w:pPr>
              <w:spacing w:after="0"/>
            </w:pPr>
            <w:r/>
            <w:r>
              <w:rPr>
                <w:rFonts w:ascii="Aptos" w:hAnsi="Aptos"/>
                <w:b/>
                <w:color w:val="FFFFFF"/>
                <w:sz w:val="17"/>
              </w:rPr>
              <w:t>Status / action</w:t>
            </w:r>
          </w:p>
        </w:tc>
      </w:tr>
      <w:tr>
        <w:tc>
          <w:tcPr>
            <w:tcW w:type="dxa" w:w="3402"/>
            <w:vAlign w:val="center"/>
            <w:shd w:fill="F3F6F8"/>
          </w:tcPr>
          <w:p>
            <w:pPr>
              <w:spacing w:after="0"/>
            </w:pPr>
            <w:r/>
            <w:r>
              <w:rPr>
                <w:rFonts w:ascii="Aptos" w:hAnsi="Aptos"/>
                <w:b w:val="0"/>
                <w:sz w:val="17"/>
              </w:rPr>
              <w:t>Applicable conformity route</w:t>
            </w:r>
          </w:p>
        </w:tc>
        <w:tc>
          <w:tcPr>
            <w:tcW w:type="dxa" w:w="6803"/>
            <w:vAlign w:val="center"/>
          </w:tcPr>
          <w:p>
            <w:pPr>
              <w:spacing w:after="0"/>
            </w:pPr>
            <w:r/>
            <w:r>
              <w:rPr>
                <w:rFonts w:ascii="Aptos" w:hAnsi="Aptos"/>
                <w:b w:val="0"/>
                <w:sz w:val="17"/>
              </w:rPr>
              <w:t>TBC by Legal/Compliance after classification and standards analysis.</w:t>
            </w:r>
          </w:p>
        </w:tc>
      </w:tr>
      <w:tr>
        <w:tc>
          <w:tcPr>
            <w:tcW w:type="dxa" w:w="3402"/>
            <w:vAlign w:val="center"/>
            <w:shd w:fill="F3F6F8"/>
          </w:tcPr>
          <w:p>
            <w:pPr>
              <w:spacing w:after="0"/>
            </w:pPr>
            <w:r/>
            <w:r>
              <w:rPr>
                <w:rFonts w:ascii="Aptos" w:hAnsi="Aptos"/>
                <w:b w:val="0"/>
                <w:sz w:val="17"/>
              </w:rPr>
              <w:t>Quality management system evidence</w:t>
            </w:r>
          </w:p>
        </w:tc>
        <w:tc>
          <w:tcPr>
            <w:tcW w:type="dxa" w:w="6803"/>
            <w:vAlign w:val="center"/>
          </w:tcPr>
          <w:p>
            <w:pPr>
              <w:spacing w:after="0"/>
            </w:pPr>
            <w:r/>
            <w:r>
              <w:rPr>
                <w:rFonts w:ascii="Aptos" w:hAnsi="Aptos"/>
                <w:b w:val="0"/>
                <w:sz w:val="17"/>
              </w:rPr>
              <w:t>TBC; identify scope, procedures, audits, nonconformities and management review.</w:t>
            </w:r>
          </w:p>
        </w:tc>
      </w:tr>
      <w:tr>
        <w:tc>
          <w:tcPr>
            <w:tcW w:type="dxa" w:w="3402"/>
            <w:vAlign w:val="center"/>
            <w:shd w:fill="F3F6F8"/>
          </w:tcPr>
          <w:p>
            <w:pPr>
              <w:spacing w:after="0"/>
            </w:pPr>
            <w:r/>
            <w:r>
              <w:rPr>
                <w:rFonts w:ascii="Aptos" w:hAnsi="Aptos"/>
                <w:b w:val="0"/>
                <w:sz w:val="17"/>
              </w:rPr>
              <w:t>Technical documentation completeness review</w:t>
            </w:r>
          </w:p>
        </w:tc>
        <w:tc>
          <w:tcPr>
            <w:tcW w:type="dxa" w:w="6803"/>
            <w:vAlign w:val="center"/>
          </w:tcPr>
          <w:p>
            <w:pPr>
              <w:spacing w:after="0"/>
            </w:pPr>
            <w:r/>
            <w:r>
              <w:rPr>
                <w:rFonts w:ascii="Aptos" w:hAnsi="Aptos"/>
                <w:b w:val="0"/>
                <w:sz w:val="17"/>
              </w:rPr>
              <w:t>Pending closure of this document's TBC items and evidence index.</w:t>
            </w:r>
          </w:p>
        </w:tc>
      </w:tr>
      <w:tr>
        <w:tc>
          <w:tcPr>
            <w:tcW w:type="dxa" w:w="3402"/>
            <w:vAlign w:val="center"/>
            <w:shd w:fill="F3F6F8"/>
          </w:tcPr>
          <w:p>
            <w:pPr>
              <w:spacing w:after="0"/>
            </w:pPr>
            <w:r/>
            <w:r>
              <w:rPr>
                <w:rFonts w:ascii="Aptos" w:hAnsi="Aptos"/>
                <w:b w:val="0"/>
                <w:sz w:val="17"/>
              </w:rPr>
              <w:t>EU declaration of conformity</w:t>
            </w:r>
          </w:p>
        </w:tc>
        <w:tc>
          <w:tcPr>
            <w:tcW w:type="dxa" w:w="6803"/>
            <w:vAlign w:val="center"/>
          </w:tcPr>
          <w:p>
            <w:pPr>
              <w:spacing w:after="0"/>
            </w:pPr>
            <w:r/>
            <w:r>
              <w:rPr>
                <w:rFonts w:ascii="Aptos" w:hAnsi="Aptos"/>
                <w:b w:val="0"/>
                <w:sz w:val="17"/>
              </w:rPr>
              <w:t>Not issued. Prepare only after requirements and assessment are complete.</w:t>
            </w:r>
          </w:p>
        </w:tc>
      </w:tr>
      <w:tr>
        <w:tc>
          <w:tcPr>
            <w:tcW w:type="dxa" w:w="3402"/>
            <w:vAlign w:val="center"/>
            <w:shd w:fill="F3F6F8"/>
          </w:tcPr>
          <w:p>
            <w:pPr>
              <w:spacing w:after="0"/>
            </w:pPr>
            <w:r/>
            <w:r>
              <w:rPr>
                <w:rFonts w:ascii="Aptos" w:hAnsi="Aptos"/>
                <w:b w:val="0"/>
                <w:sz w:val="17"/>
              </w:rPr>
              <w:t>CE marking / registration</w:t>
            </w:r>
          </w:p>
        </w:tc>
        <w:tc>
          <w:tcPr>
            <w:tcW w:type="dxa" w:w="6803"/>
            <w:vAlign w:val="center"/>
          </w:tcPr>
          <w:p>
            <w:pPr>
              <w:spacing w:after="0"/>
            </w:pPr>
            <w:r/>
            <w:r>
              <w:rPr>
                <w:rFonts w:ascii="Aptos" w:hAnsi="Aptos"/>
                <w:b w:val="0"/>
                <w:sz w:val="17"/>
              </w:rPr>
              <w:t>Applicability and process TBC; do not affix or claim before authorization.</w:t>
            </w:r>
          </w:p>
        </w:tc>
      </w:tr>
      <w:tr>
        <w:tc>
          <w:tcPr>
            <w:tcW w:type="dxa" w:w="3402"/>
            <w:vAlign w:val="center"/>
            <w:shd w:fill="F3F6F8"/>
          </w:tcPr>
          <w:p>
            <w:pPr>
              <w:spacing w:after="0"/>
            </w:pPr>
            <w:r/>
            <w:r>
              <w:rPr>
                <w:rFonts w:ascii="Aptos" w:hAnsi="Aptos"/>
                <w:b w:val="0"/>
                <w:sz w:val="17"/>
              </w:rPr>
              <w:t>Authorized signatory and retention</w:t>
            </w:r>
          </w:p>
        </w:tc>
        <w:tc>
          <w:tcPr>
            <w:tcW w:type="dxa" w:w="6803"/>
            <w:vAlign w:val="center"/>
          </w:tcPr>
          <w:p>
            <w:pPr>
              <w:spacing w:after="0"/>
            </w:pPr>
            <w:r/>
            <w:r>
              <w:rPr>
                <w:rFonts w:ascii="Aptos" w:hAnsi="Aptos"/>
                <w:b w:val="0"/>
                <w:sz w:val="17"/>
              </w:rPr>
              <w:t>TBC.</w:t>
            </w:r>
          </w:p>
        </w:tc>
      </w:tr>
    </w:tbl>
    <w:p>
      <w:pPr>
        <w:spacing w:after="0"/>
      </w:pPr>
    </w:p>
    <w:p>
      <w:pPr>
        <w:pStyle w:val="Heading1"/>
      </w:pPr>
      <w:r>
        <w:t>15. Post-market monitoring plan</w:t>
      </w:r>
    </w:p>
    <w:p>
      <w:pPr>
        <w:pStyle w:val="Heading2"/>
      </w:pPr>
      <w:r>
        <w:t>15.1 Objectives and sources</w:t>
      </w:r>
    </w:p>
    <w:p>
      <w:r>
        <w:t>The provider should proactively and systematically collect, document and analyze relevant performance, safety, rights, security and operational data throughout the system lifetime. Sources include application audit logs, model telemetry, retrieval/claim metrics, user edits and overrides, analyst denials, complaints, incident tickets, security monitoring, supplier notices, vulnerability intelligence, periodic sample review and subgroup analysis.</w:t>
      </w:r>
    </w:p>
    <w:p>
      <w:pPr>
        <w:pStyle w:val="Heading2"/>
      </w:pPr>
      <w:r>
        <w:t>15.2 Monitoring indicators</w:t>
      </w:r>
    </w:p>
    <w:tbl>
      <w:tblPr>
        <w:tblStyle w:val="TableGrid"/>
        <w:tblW w:type="auto" w:w="0"/>
        <w:jc w:val="center"/>
        <w:tblLook w:firstColumn="1" w:firstRow="1" w:lastColumn="0" w:lastRow="0" w:noHBand="0" w:noVBand="1" w:val="04A0"/>
      </w:tblPr>
      <w:tblGrid>
        <w:gridCol w:w="2006"/>
        <w:gridCol w:w="2006"/>
        <w:gridCol w:w="2006"/>
        <w:gridCol w:w="2006"/>
        <w:gridCol w:w="2006"/>
      </w:tblGrid>
      <w:tr>
        <w:tc>
          <w:tcPr>
            <w:tcW w:type="dxa" w:w="2381"/>
            <w:vAlign w:val="center"/>
            <w:shd w:fill="17365D"/>
          </w:tcPr>
          <w:p>
            <w:pPr>
              <w:spacing w:after="0"/>
            </w:pPr>
            <w:r/>
            <w:r>
              <w:rPr>
                <w:rFonts w:ascii="Aptos" w:hAnsi="Aptos"/>
                <w:b/>
                <w:color w:val="FFFFFF"/>
                <w:sz w:val="17"/>
              </w:rPr>
              <w:t>Indicator</w:t>
            </w:r>
          </w:p>
        </w:tc>
        <w:tc>
          <w:tcPr>
            <w:tcW w:type="dxa" w:w="1531"/>
            <w:vAlign w:val="center"/>
            <w:shd w:fill="17365D"/>
          </w:tcPr>
          <w:p>
            <w:pPr>
              <w:spacing w:after="0"/>
            </w:pPr>
            <w:r/>
            <w:r>
              <w:rPr>
                <w:rFonts w:ascii="Aptos" w:hAnsi="Aptos"/>
                <w:b/>
                <w:color w:val="FFFFFF"/>
                <w:sz w:val="17"/>
              </w:rPr>
              <w:t>Frequency</w:t>
            </w:r>
          </w:p>
        </w:tc>
        <w:tc>
          <w:tcPr>
            <w:tcW w:type="dxa" w:w="2665"/>
            <w:vAlign w:val="center"/>
            <w:shd w:fill="17365D"/>
          </w:tcPr>
          <w:p>
            <w:pPr>
              <w:spacing w:after="0"/>
            </w:pPr>
            <w:r/>
            <w:r>
              <w:rPr>
                <w:rFonts w:ascii="Aptos" w:hAnsi="Aptos"/>
                <w:b/>
                <w:color w:val="FFFFFF"/>
                <w:sz w:val="17"/>
              </w:rPr>
              <w:t>Threshold / trigger</w:t>
            </w:r>
          </w:p>
        </w:tc>
        <w:tc>
          <w:tcPr>
            <w:tcW w:type="dxa" w:w="1417"/>
            <w:vAlign w:val="center"/>
            <w:shd w:fill="17365D"/>
          </w:tcPr>
          <w:p>
            <w:pPr>
              <w:spacing w:after="0"/>
            </w:pPr>
            <w:r/>
            <w:r>
              <w:rPr>
                <w:rFonts w:ascii="Aptos" w:hAnsi="Aptos"/>
                <w:b/>
                <w:color w:val="FFFFFF"/>
                <w:sz w:val="17"/>
              </w:rPr>
              <w:t>Owner</w:t>
            </w:r>
          </w:p>
        </w:tc>
        <w:tc>
          <w:tcPr>
            <w:tcW w:type="dxa" w:w="2268"/>
            <w:vAlign w:val="center"/>
            <w:shd w:fill="17365D"/>
          </w:tcPr>
          <w:p>
            <w:pPr>
              <w:spacing w:after="0"/>
            </w:pPr>
            <w:r/>
            <w:r>
              <w:rPr>
                <w:rFonts w:ascii="Aptos" w:hAnsi="Aptos"/>
                <w:b/>
                <w:color w:val="FFFFFF"/>
                <w:sz w:val="17"/>
              </w:rPr>
              <w:t>Response</w:t>
            </w:r>
          </w:p>
        </w:tc>
      </w:tr>
      <w:tr>
        <w:tc>
          <w:tcPr>
            <w:tcW w:type="dxa" w:w="2381"/>
            <w:vAlign w:val="center"/>
            <w:shd w:fill="F3F6F8"/>
          </w:tcPr>
          <w:p>
            <w:pPr>
              <w:spacing w:after="0"/>
            </w:pPr>
            <w:r/>
            <w:r>
              <w:rPr>
                <w:rFonts w:ascii="Aptos" w:hAnsi="Aptos"/>
                <w:b w:val="0"/>
                <w:sz w:val="17"/>
              </w:rPr>
              <w:t>Unsupported material-claim rate</w:t>
            </w:r>
          </w:p>
        </w:tc>
        <w:tc>
          <w:tcPr>
            <w:tcW w:type="dxa" w:w="1531"/>
            <w:vAlign w:val="center"/>
          </w:tcPr>
          <w:p>
            <w:pPr>
              <w:spacing w:after="0"/>
            </w:pPr>
            <w:r/>
            <w:r>
              <w:rPr>
                <w:rFonts w:ascii="Aptos" w:hAnsi="Aptos"/>
                <w:b w:val="0"/>
                <w:sz w:val="17"/>
              </w:rPr>
              <w:t>Weekly/monthly</w:t>
            </w:r>
          </w:p>
        </w:tc>
        <w:tc>
          <w:tcPr>
            <w:tcW w:type="dxa" w:w="2665"/>
            <w:vAlign w:val="center"/>
          </w:tcPr>
          <w:p>
            <w:pPr>
              <w:spacing w:after="0"/>
            </w:pPr>
            <w:r/>
            <w:r>
              <w:rPr>
                <w:rFonts w:ascii="Aptos" w:hAnsi="Aptos"/>
                <w:b w:val="0"/>
                <w:sz w:val="17"/>
              </w:rPr>
              <w:t>TBC; any severe false statement triggers incident review</w:t>
            </w:r>
          </w:p>
        </w:tc>
        <w:tc>
          <w:tcPr>
            <w:tcW w:type="dxa" w:w="1417"/>
            <w:vAlign w:val="center"/>
          </w:tcPr>
          <w:p>
            <w:pPr>
              <w:spacing w:after="0"/>
            </w:pPr>
            <w:r/>
            <w:r>
              <w:rPr>
                <w:rFonts w:ascii="Aptos" w:hAnsi="Aptos"/>
                <w:b w:val="0"/>
                <w:sz w:val="17"/>
              </w:rPr>
              <w:t>Model Risk</w:t>
            </w:r>
          </w:p>
        </w:tc>
        <w:tc>
          <w:tcPr>
            <w:tcW w:type="dxa" w:w="2268"/>
            <w:vAlign w:val="center"/>
          </w:tcPr>
          <w:p>
            <w:pPr>
              <w:spacing w:after="0"/>
            </w:pPr>
            <w:r/>
            <w:r>
              <w:rPr>
                <w:rFonts w:ascii="Aptos" w:hAnsi="Aptos"/>
                <w:b w:val="0"/>
                <w:sz w:val="17"/>
              </w:rPr>
              <w:t>Quarantine output/build; investigate source/model/prompt.</w:t>
            </w:r>
          </w:p>
        </w:tc>
      </w:tr>
      <w:tr>
        <w:tc>
          <w:tcPr>
            <w:tcW w:type="dxa" w:w="2381"/>
            <w:vAlign w:val="center"/>
            <w:shd w:fill="F3F6F8"/>
          </w:tcPr>
          <w:p>
            <w:pPr>
              <w:spacing w:after="0"/>
            </w:pPr>
            <w:r/>
            <w:r>
              <w:rPr>
                <w:rFonts w:ascii="Aptos" w:hAnsi="Aptos"/>
                <w:b w:val="0"/>
                <w:sz w:val="17"/>
              </w:rPr>
              <w:t>Citation entailment/source coverage</w:t>
            </w:r>
          </w:p>
        </w:tc>
        <w:tc>
          <w:tcPr>
            <w:tcW w:type="dxa" w:w="1531"/>
            <w:vAlign w:val="center"/>
          </w:tcPr>
          <w:p>
            <w:pPr>
              <w:spacing w:after="0"/>
            </w:pPr>
            <w:r/>
            <w:r>
              <w:rPr>
                <w:rFonts w:ascii="Aptos" w:hAnsi="Aptos"/>
                <w:b w:val="0"/>
                <w:sz w:val="17"/>
              </w:rPr>
              <w:t>Monthly and per release</w:t>
            </w:r>
          </w:p>
        </w:tc>
        <w:tc>
          <w:tcPr>
            <w:tcW w:type="dxa" w:w="2665"/>
            <w:vAlign w:val="center"/>
          </w:tcPr>
          <w:p>
            <w:pPr>
              <w:spacing w:after="0"/>
            </w:pPr>
            <w:r/>
            <w:r>
              <w:rPr>
                <w:rFonts w:ascii="Aptos" w:hAnsi="Aptos"/>
                <w:b w:val="0"/>
                <w:sz w:val="17"/>
              </w:rPr>
              <w:t>TBC</w:t>
            </w:r>
          </w:p>
        </w:tc>
        <w:tc>
          <w:tcPr>
            <w:tcW w:type="dxa" w:w="1417"/>
            <w:vAlign w:val="center"/>
          </w:tcPr>
          <w:p>
            <w:pPr>
              <w:spacing w:after="0"/>
            </w:pPr>
            <w:r/>
            <w:r>
              <w:rPr>
                <w:rFonts w:ascii="Aptos" w:hAnsi="Aptos"/>
                <w:b w:val="0"/>
                <w:sz w:val="17"/>
              </w:rPr>
              <w:t>QA / Model Risk</w:t>
            </w:r>
          </w:p>
        </w:tc>
        <w:tc>
          <w:tcPr>
            <w:tcW w:type="dxa" w:w="2268"/>
            <w:vAlign w:val="center"/>
          </w:tcPr>
          <w:p>
            <w:pPr>
              <w:spacing w:after="0"/>
            </w:pPr>
            <w:r/>
            <w:r>
              <w:rPr>
                <w:rFonts w:ascii="Aptos" w:hAnsi="Aptos"/>
                <w:b w:val="0"/>
                <w:sz w:val="17"/>
              </w:rPr>
              <w:t>Root cause, corrective action and revalidation.</w:t>
            </w:r>
          </w:p>
        </w:tc>
      </w:tr>
      <w:tr>
        <w:tc>
          <w:tcPr>
            <w:tcW w:type="dxa" w:w="2381"/>
            <w:vAlign w:val="center"/>
            <w:shd w:fill="F3F6F8"/>
          </w:tcPr>
          <w:p>
            <w:pPr>
              <w:spacing w:after="0"/>
            </w:pPr>
            <w:r/>
            <w:r>
              <w:rPr>
                <w:rFonts w:ascii="Aptos" w:hAnsi="Aptos"/>
                <w:b w:val="0"/>
                <w:sz w:val="17"/>
              </w:rPr>
              <w:t>Analyst corrections, overrides and denials</w:t>
            </w:r>
          </w:p>
        </w:tc>
        <w:tc>
          <w:tcPr>
            <w:tcW w:type="dxa" w:w="1531"/>
            <w:vAlign w:val="center"/>
          </w:tcPr>
          <w:p>
            <w:pPr>
              <w:spacing w:after="0"/>
            </w:pPr>
            <w:r/>
            <w:r>
              <w:rPr>
                <w:rFonts w:ascii="Aptos" w:hAnsi="Aptos"/>
                <w:b w:val="0"/>
                <w:sz w:val="17"/>
              </w:rPr>
              <w:t>Monthly</w:t>
            </w:r>
          </w:p>
        </w:tc>
        <w:tc>
          <w:tcPr>
            <w:tcW w:type="dxa" w:w="2665"/>
            <w:vAlign w:val="center"/>
          </w:tcPr>
          <w:p>
            <w:pPr>
              <w:spacing w:after="0"/>
            </w:pPr>
            <w:r/>
            <w:r>
              <w:rPr>
                <w:rFonts w:ascii="Aptos" w:hAnsi="Aptos"/>
                <w:b w:val="0"/>
                <w:sz w:val="17"/>
              </w:rPr>
              <w:t>Trend or section outlier TBC</w:t>
            </w:r>
          </w:p>
        </w:tc>
        <w:tc>
          <w:tcPr>
            <w:tcW w:type="dxa" w:w="1417"/>
            <w:vAlign w:val="center"/>
          </w:tcPr>
          <w:p>
            <w:pPr>
              <w:spacing w:after="0"/>
            </w:pPr>
            <w:r/>
            <w:r>
              <w:rPr>
                <w:rFonts w:ascii="Aptos" w:hAnsi="Aptos"/>
                <w:b w:val="0"/>
                <w:sz w:val="17"/>
              </w:rPr>
              <w:t>Product / Business</w:t>
            </w:r>
          </w:p>
        </w:tc>
        <w:tc>
          <w:tcPr>
            <w:tcW w:type="dxa" w:w="2268"/>
            <w:vAlign w:val="center"/>
          </w:tcPr>
          <w:p>
            <w:pPr>
              <w:spacing w:after="0"/>
            </w:pPr>
            <w:r/>
            <w:r>
              <w:rPr>
                <w:rFonts w:ascii="Aptos" w:hAnsi="Aptos"/>
                <w:b w:val="0"/>
                <w:sz w:val="17"/>
              </w:rPr>
              <w:t>Review usability, prompts, training and data quality.</w:t>
            </w:r>
          </w:p>
        </w:tc>
      </w:tr>
      <w:tr>
        <w:tc>
          <w:tcPr>
            <w:tcW w:type="dxa" w:w="2381"/>
            <w:vAlign w:val="center"/>
            <w:shd w:fill="F3F6F8"/>
          </w:tcPr>
          <w:p>
            <w:pPr>
              <w:spacing w:after="0"/>
            </w:pPr>
            <w:r/>
            <w:r>
              <w:rPr>
                <w:rFonts w:ascii="Aptos" w:hAnsi="Aptos"/>
                <w:b w:val="0"/>
                <w:sz w:val="17"/>
              </w:rPr>
              <w:t>Group-specific quality/adverse impact</w:t>
            </w:r>
          </w:p>
        </w:tc>
        <w:tc>
          <w:tcPr>
            <w:tcW w:type="dxa" w:w="1531"/>
            <w:vAlign w:val="center"/>
          </w:tcPr>
          <w:p>
            <w:pPr>
              <w:spacing w:after="0"/>
            </w:pPr>
            <w:r/>
            <w:r>
              <w:rPr>
                <w:rFonts w:ascii="Aptos" w:hAnsi="Aptos"/>
                <w:b w:val="0"/>
                <w:sz w:val="17"/>
              </w:rPr>
              <w:t>Quarterly or risk-based</w:t>
            </w:r>
          </w:p>
        </w:tc>
        <w:tc>
          <w:tcPr>
            <w:tcW w:type="dxa" w:w="2665"/>
            <w:vAlign w:val="center"/>
          </w:tcPr>
          <w:p>
            <w:pPr>
              <w:spacing w:after="0"/>
            </w:pPr>
            <w:r/>
            <w:r>
              <w:rPr>
                <w:rFonts w:ascii="Aptos" w:hAnsi="Aptos"/>
                <w:b w:val="0"/>
                <w:sz w:val="17"/>
              </w:rPr>
              <w:t>Legally approved tolerance TBC</w:t>
            </w:r>
          </w:p>
        </w:tc>
        <w:tc>
          <w:tcPr>
            <w:tcW w:type="dxa" w:w="1417"/>
            <w:vAlign w:val="center"/>
          </w:tcPr>
          <w:p>
            <w:pPr>
              <w:spacing w:after="0"/>
            </w:pPr>
            <w:r/>
            <w:r>
              <w:rPr>
                <w:rFonts w:ascii="Aptos" w:hAnsi="Aptos"/>
                <w:b w:val="0"/>
                <w:sz w:val="17"/>
              </w:rPr>
              <w:t>Compliance</w:t>
            </w:r>
          </w:p>
        </w:tc>
        <w:tc>
          <w:tcPr>
            <w:tcW w:type="dxa" w:w="2268"/>
            <w:vAlign w:val="center"/>
          </w:tcPr>
          <w:p>
            <w:pPr>
              <w:spacing w:after="0"/>
            </w:pPr>
            <w:r/>
            <w:r>
              <w:rPr>
                <w:rFonts w:ascii="Aptos" w:hAnsi="Aptos"/>
                <w:b w:val="0"/>
                <w:sz w:val="17"/>
              </w:rPr>
              <w:t>Suspend affected use; investigate and remediate.</w:t>
            </w:r>
          </w:p>
        </w:tc>
      </w:tr>
      <w:tr>
        <w:tc>
          <w:tcPr>
            <w:tcW w:type="dxa" w:w="2381"/>
            <w:vAlign w:val="center"/>
            <w:shd w:fill="F3F6F8"/>
          </w:tcPr>
          <w:p>
            <w:pPr>
              <w:spacing w:after="0"/>
            </w:pPr>
            <w:r/>
            <w:r>
              <w:rPr>
                <w:rFonts w:ascii="Aptos" w:hAnsi="Aptos"/>
                <w:b w:val="0"/>
                <w:sz w:val="17"/>
              </w:rPr>
              <w:t>Authz/privacy/security events</w:t>
            </w:r>
          </w:p>
        </w:tc>
        <w:tc>
          <w:tcPr>
            <w:tcW w:type="dxa" w:w="1531"/>
            <w:vAlign w:val="center"/>
          </w:tcPr>
          <w:p>
            <w:pPr>
              <w:spacing w:after="0"/>
            </w:pPr>
            <w:r/>
            <w:r>
              <w:rPr>
                <w:rFonts w:ascii="Aptos" w:hAnsi="Aptos"/>
                <w:b w:val="0"/>
                <w:sz w:val="17"/>
              </w:rPr>
              <w:t>Continuous</w:t>
            </w:r>
          </w:p>
        </w:tc>
        <w:tc>
          <w:tcPr>
            <w:tcW w:type="dxa" w:w="2665"/>
            <w:vAlign w:val="center"/>
          </w:tcPr>
          <w:p>
            <w:pPr>
              <w:spacing w:after="0"/>
            </w:pPr>
            <w:r/>
            <w:r>
              <w:rPr>
                <w:rFonts w:ascii="Aptos" w:hAnsi="Aptos"/>
                <w:b w:val="0"/>
                <w:sz w:val="17"/>
              </w:rPr>
              <w:t>Any confirmed cross-user access or material breach</w:t>
            </w:r>
          </w:p>
        </w:tc>
        <w:tc>
          <w:tcPr>
            <w:tcW w:type="dxa" w:w="1417"/>
            <w:vAlign w:val="center"/>
          </w:tcPr>
          <w:p>
            <w:pPr>
              <w:spacing w:after="0"/>
            </w:pPr>
            <w:r/>
            <w:r>
              <w:rPr>
                <w:rFonts w:ascii="Aptos" w:hAnsi="Aptos"/>
                <w:b w:val="0"/>
                <w:sz w:val="17"/>
              </w:rPr>
              <w:t>Security/DPO</w:t>
            </w:r>
          </w:p>
        </w:tc>
        <w:tc>
          <w:tcPr>
            <w:tcW w:type="dxa" w:w="2268"/>
            <w:vAlign w:val="center"/>
          </w:tcPr>
          <w:p>
            <w:pPr>
              <w:spacing w:after="0"/>
            </w:pPr>
            <w:r/>
            <w:r>
              <w:rPr>
                <w:rFonts w:ascii="Aptos" w:hAnsi="Aptos"/>
                <w:b w:val="0"/>
                <w:sz w:val="17"/>
              </w:rPr>
              <w:t>Incident response, containment and notification assessment.</w:t>
            </w:r>
          </w:p>
        </w:tc>
      </w:tr>
      <w:tr>
        <w:tc>
          <w:tcPr>
            <w:tcW w:type="dxa" w:w="2381"/>
            <w:vAlign w:val="center"/>
            <w:shd w:fill="F3F6F8"/>
          </w:tcPr>
          <w:p>
            <w:pPr>
              <w:spacing w:after="0"/>
            </w:pPr>
            <w:r/>
            <w:r>
              <w:rPr>
                <w:rFonts w:ascii="Aptos" w:hAnsi="Aptos"/>
                <w:b w:val="0"/>
                <w:sz w:val="17"/>
              </w:rPr>
              <w:t>Prompt injection / unsafe input</w:t>
            </w:r>
          </w:p>
        </w:tc>
        <w:tc>
          <w:tcPr>
            <w:tcW w:type="dxa" w:w="1531"/>
            <w:vAlign w:val="center"/>
          </w:tcPr>
          <w:p>
            <w:pPr>
              <w:spacing w:after="0"/>
            </w:pPr>
            <w:r/>
            <w:r>
              <w:rPr>
                <w:rFonts w:ascii="Aptos" w:hAnsi="Aptos"/>
                <w:b w:val="0"/>
                <w:sz w:val="17"/>
              </w:rPr>
              <w:t>Continuous/monthly summary</w:t>
            </w:r>
          </w:p>
        </w:tc>
        <w:tc>
          <w:tcPr>
            <w:tcW w:type="dxa" w:w="2665"/>
            <w:vAlign w:val="center"/>
          </w:tcPr>
          <w:p>
            <w:pPr>
              <w:spacing w:after="0"/>
            </w:pPr>
            <w:r/>
            <w:r>
              <w:rPr>
                <w:rFonts w:ascii="Aptos" w:hAnsi="Aptos"/>
                <w:b w:val="0"/>
                <w:sz w:val="17"/>
              </w:rPr>
              <w:t>TBC</w:t>
            </w:r>
          </w:p>
        </w:tc>
        <w:tc>
          <w:tcPr>
            <w:tcW w:type="dxa" w:w="1417"/>
            <w:vAlign w:val="center"/>
          </w:tcPr>
          <w:p>
            <w:pPr>
              <w:spacing w:after="0"/>
            </w:pPr>
            <w:r/>
            <w:r>
              <w:rPr>
                <w:rFonts w:ascii="Aptos" w:hAnsi="Aptos"/>
                <w:b w:val="0"/>
                <w:sz w:val="17"/>
              </w:rPr>
              <w:t>Security</w:t>
            </w:r>
          </w:p>
        </w:tc>
        <w:tc>
          <w:tcPr>
            <w:tcW w:type="dxa" w:w="2268"/>
            <w:vAlign w:val="center"/>
          </w:tcPr>
          <w:p>
            <w:pPr>
              <w:spacing w:after="0"/>
            </w:pPr>
            <w:r/>
            <w:r>
              <w:rPr>
                <w:rFonts w:ascii="Aptos" w:hAnsi="Aptos"/>
                <w:b w:val="0"/>
                <w:sz w:val="17"/>
              </w:rPr>
              <w:t>Block pattern/source; update controls and tests.</w:t>
            </w:r>
          </w:p>
        </w:tc>
      </w:tr>
      <w:tr>
        <w:tc>
          <w:tcPr>
            <w:tcW w:type="dxa" w:w="2381"/>
            <w:vAlign w:val="center"/>
            <w:shd w:fill="F3F6F8"/>
          </w:tcPr>
          <w:p>
            <w:pPr>
              <w:spacing w:after="0"/>
            </w:pPr>
            <w:r/>
            <w:r>
              <w:rPr>
                <w:rFonts w:ascii="Aptos" w:hAnsi="Aptos"/>
                <w:b w:val="0"/>
                <w:sz w:val="17"/>
              </w:rPr>
              <w:t>External-service errors and fallback use</w:t>
            </w:r>
          </w:p>
        </w:tc>
        <w:tc>
          <w:tcPr>
            <w:tcW w:type="dxa" w:w="1531"/>
            <w:vAlign w:val="center"/>
          </w:tcPr>
          <w:p>
            <w:pPr>
              <w:spacing w:after="0"/>
            </w:pPr>
            <w:r/>
            <w:r>
              <w:rPr>
                <w:rFonts w:ascii="Aptos" w:hAnsi="Aptos"/>
                <w:b w:val="0"/>
                <w:sz w:val="17"/>
              </w:rPr>
              <w:t>Daily/weekly</w:t>
            </w:r>
          </w:p>
        </w:tc>
        <w:tc>
          <w:tcPr>
            <w:tcW w:type="dxa" w:w="2665"/>
            <w:vAlign w:val="center"/>
          </w:tcPr>
          <w:p>
            <w:pPr>
              <w:spacing w:after="0"/>
            </w:pPr>
            <w:r/>
            <w:r>
              <w:rPr>
                <w:rFonts w:ascii="Aptos" w:hAnsi="Aptos"/>
                <w:b w:val="0"/>
                <w:sz w:val="17"/>
              </w:rPr>
              <w:t>SLO/fallback-rate TBC</w:t>
            </w:r>
          </w:p>
        </w:tc>
        <w:tc>
          <w:tcPr>
            <w:tcW w:type="dxa" w:w="1417"/>
            <w:vAlign w:val="center"/>
          </w:tcPr>
          <w:p>
            <w:pPr>
              <w:spacing w:after="0"/>
            </w:pPr>
            <w:r/>
            <w:r>
              <w:rPr>
                <w:rFonts w:ascii="Aptos" w:hAnsi="Aptos"/>
                <w:b w:val="0"/>
                <w:sz w:val="17"/>
              </w:rPr>
              <w:t>SRE</w:t>
            </w:r>
          </w:p>
        </w:tc>
        <w:tc>
          <w:tcPr>
            <w:tcW w:type="dxa" w:w="2268"/>
            <w:vAlign w:val="center"/>
          </w:tcPr>
          <w:p>
            <w:pPr>
              <w:spacing w:after="0"/>
            </w:pPr>
            <w:r/>
            <w:r>
              <w:rPr>
                <w:rFonts w:ascii="Aptos" w:hAnsi="Aptos"/>
                <w:b w:val="0"/>
                <w:sz w:val="17"/>
              </w:rPr>
              <w:t>Degrade safely, alert, supplier escalation.</w:t>
            </w:r>
          </w:p>
        </w:tc>
      </w:tr>
      <w:tr>
        <w:tc>
          <w:tcPr>
            <w:tcW w:type="dxa" w:w="2381"/>
            <w:vAlign w:val="center"/>
            <w:shd w:fill="F3F6F8"/>
          </w:tcPr>
          <w:p>
            <w:pPr>
              <w:spacing w:after="0"/>
            </w:pPr>
            <w:r/>
            <w:r>
              <w:rPr>
                <w:rFonts w:ascii="Aptos" w:hAnsi="Aptos"/>
                <w:b w:val="0"/>
                <w:sz w:val="17"/>
              </w:rPr>
              <w:t>Latency/availability/job loss</w:t>
            </w:r>
          </w:p>
        </w:tc>
        <w:tc>
          <w:tcPr>
            <w:tcW w:type="dxa" w:w="1531"/>
            <w:vAlign w:val="center"/>
          </w:tcPr>
          <w:p>
            <w:pPr>
              <w:spacing w:after="0"/>
            </w:pPr>
            <w:r/>
            <w:r>
              <w:rPr>
                <w:rFonts w:ascii="Aptos" w:hAnsi="Aptos"/>
                <w:b w:val="0"/>
                <w:sz w:val="17"/>
              </w:rPr>
              <w:t>Continuous</w:t>
            </w:r>
          </w:p>
        </w:tc>
        <w:tc>
          <w:tcPr>
            <w:tcW w:type="dxa" w:w="2665"/>
            <w:vAlign w:val="center"/>
          </w:tcPr>
          <w:p>
            <w:pPr>
              <w:spacing w:after="0"/>
            </w:pPr>
            <w:r/>
            <w:r>
              <w:rPr>
                <w:rFonts w:ascii="Aptos" w:hAnsi="Aptos"/>
                <w:b w:val="0"/>
                <w:sz w:val="17"/>
              </w:rPr>
              <w:t>SLO TBC</w:t>
            </w:r>
          </w:p>
        </w:tc>
        <w:tc>
          <w:tcPr>
            <w:tcW w:type="dxa" w:w="1417"/>
            <w:vAlign w:val="center"/>
          </w:tcPr>
          <w:p>
            <w:pPr>
              <w:spacing w:after="0"/>
            </w:pPr>
            <w:r/>
            <w:r>
              <w:rPr>
                <w:rFonts w:ascii="Aptos" w:hAnsi="Aptos"/>
                <w:b w:val="0"/>
                <w:sz w:val="17"/>
              </w:rPr>
              <w:t>SRE</w:t>
            </w:r>
          </w:p>
        </w:tc>
        <w:tc>
          <w:tcPr>
            <w:tcW w:type="dxa" w:w="2268"/>
            <w:vAlign w:val="center"/>
          </w:tcPr>
          <w:p>
            <w:pPr>
              <w:spacing w:after="0"/>
            </w:pPr>
            <w:r/>
            <w:r>
              <w:rPr>
                <w:rFonts w:ascii="Aptos" w:hAnsi="Aptos"/>
                <w:b w:val="0"/>
                <w:sz w:val="17"/>
              </w:rPr>
              <w:t>Capacity/failover/circuit-breaker action.</w:t>
            </w:r>
          </w:p>
        </w:tc>
      </w:tr>
      <w:tr>
        <w:tc>
          <w:tcPr>
            <w:tcW w:type="dxa" w:w="2381"/>
            <w:vAlign w:val="center"/>
            <w:shd w:fill="F3F6F8"/>
          </w:tcPr>
          <w:p>
            <w:pPr>
              <w:spacing w:after="0"/>
            </w:pPr>
            <w:r/>
            <w:r>
              <w:rPr>
                <w:rFonts w:ascii="Aptos" w:hAnsi="Aptos"/>
                <w:b w:val="0"/>
                <w:sz w:val="17"/>
              </w:rPr>
              <w:t>Model/dependency/supplier change</w:t>
            </w:r>
          </w:p>
        </w:tc>
        <w:tc>
          <w:tcPr>
            <w:tcW w:type="dxa" w:w="1531"/>
            <w:vAlign w:val="center"/>
          </w:tcPr>
          <w:p>
            <w:pPr>
              <w:spacing w:after="0"/>
            </w:pPr>
            <w:r/>
            <w:r>
              <w:rPr>
                <w:rFonts w:ascii="Aptos" w:hAnsi="Aptos"/>
                <w:b w:val="0"/>
                <w:sz w:val="17"/>
              </w:rPr>
              <w:t>On notice and monthly review</w:t>
            </w:r>
          </w:p>
        </w:tc>
        <w:tc>
          <w:tcPr>
            <w:tcW w:type="dxa" w:w="2665"/>
            <w:vAlign w:val="center"/>
          </w:tcPr>
          <w:p>
            <w:pPr>
              <w:spacing w:after="0"/>
            </w:pPr>
            <w:r/>
            <w:r>
              <w:rPr>
                <w:rFonts w:ascii="Aptos" w:hAnsi="Aptos"/>
                <w:b w:val="0"/>
                <w:sz w:val="17"/>
              </w:rPr>
              <w:t>Any material change</w:t>
            </w:r>
          </w:p>
        </w:tc>
        <w:tc>
          <w:tcPr>
            <w:tcW w:type="dxa" w:w="1417"/>
            <w:vAlign w:val="center"/>
          </w:tcPr>
          <w:p>
            <w:pPr>
              <w:spacing w:after="0"/>
            </w:pPr>
            <w:r/>
            <w:r>
              <w:rPr>
                <w:rFonts w:ascii="Aptos" w:hAnsi="Aptos"/>
                <w:b w:val="0"/>
                <w:sz w:val="17"/>
              </w:rPr>
              <w:t>Vendor/Engineering</w:t>
            </w:r>
          </w:p>
        </w:tc>
        <w:tc>
          <w:tcPr>
            <w:tcW w:type="dxa" w:w="2268"/>
            <w:vAlign w:val="center"/>
          </w:tcPr>
          <w:p>
            <w:pPr>
              <w:spacing w:after="0"/>
            </w:pPr>
            <w:r/>
            <w:r>
              <w:rPr>
                <w:rFonts w:ascii="Aptos" w:hAnsi="Aptos"/>
                <w:b w:val="0"/>
                <w:sz w:val="17"/>
              </w:rPr>
              <w:t>Impact assessment, regression test, approve/rollback.</w:t>
            </w:r>
          </w:p>
        </w:tc>
      </w:tr>
    </w:tbl>
    <w:p>
      <w:pPr>
        <w:spacing w:after="0"/>
      </w:pPr>
    </w:p>
    <w:p>
      <w:pPr>
        <w:pStyle w:val="Heading2"/>
      </w:pPr>
      <w:r>
        <w:t>15.3 Incident and corrective-action workflow</w:t>
      </w:r>
    </w:p>
    <w:p>
      <w:pPr>
        <w:pStyle w:val="ListNumber"/>
      </w:pPr>
      <w:r>
        <w:t>Detect and record event with timestamp, system/build/model version, deal/version identifiers and evidence.</w:t>
      </w:r>
    </w:p>
    <w:p>
      <w:pPr>
        <w:pStyle w:val="ListNumber"/>
      </w:pPr>
      <w:r>
        <w:t>Triage severity, affected users/persons, geographic scope and ongoing exposure; preserve logs and snapshots.</w:t>
      </w:r>
    </w:p>
    <w:p>
      <w:pPr>
        <w:pStyle w:val="ListNumber"/>
      </w:pPr>
      <w:r>
        <w:t>Contain: disable feature/model/source, revoke access, quarantine outputs or roll back release as appropriate.</w:t>
      </w:r>
    </w:p>
    <w:p>
      <w:pPr>
        <w:pStyle w:val="ListNumber"/>
      </w:pPr>
      <w:r>
        <w:t>Assess notification/reporting duties and timelines with Legal, DPO and Security; notify relevant authorities/persons when required.</w:t>
      </w:r>
    </w:p>
    <w:p>
      <w:pPr>
        <w:pStyle w:val="ListNumber"/>
      </w:pPr>
      <w:r>
        <w:t>Perform root-cause analysis across data, retrieval, model, prompts, code, configuration, human oversight and supplier services.</w:t>
      </w:r>
    </w:p>
    <w:p>
      <w:pPr>
        <w:pStyle w:val="ListNumber"/>
      </w:pPr>
      <w:r>
        <w:t>Implement corrective/preventive action, validate effectiveness, approve re-entry and update this technical file/risk register.</w:t>
      </w:r>
    </w:p>
    <w:p>
      <w:pPr>
        <w:pStyle w:val="ListNumber"/>
      </w:pPr>
      <w:r>
        <w:t>Trend recurring events and report at governance review until closure.</w:t>
      </w:r>
    </w:p>
    <w:p>
      <w:pPr>
        <w:pStyle w:val="Heading1"/>
      </w:pPr>
      <w:r>
        <w:t>16. Annex IV traceability matrix</w:t>
      </w:r>
    </w:p>
    <w:tbl>
      <w:tblPr>
        <w:tblStyle w:val="TableGrid"/>
        <w:tblW w:type="auto" w:w="0"/>
        <w:jc w:val="center"/>
        <w:tblLook w:firstColumn="1" w:firstRow="1" w:lastColumn="0" w:lastRow="0" w:noHBand="0" w:noVBand="1" w:val="04A0"/>
      </w:tblPr>
      <w:tblGrid>
        <w:gridCol w:w="2507"/>
        <w:gridCol w:w="2507"/>
        <w:gridCol w:w="2507"/>
        <w:gridCol w:w="2507"/>
      </w:tblGrid>
      <w:tr>
        <w:tc>
          <w:tcPr>
            <w:tcW w:type="dxa" w:w="3118"/>
            <w:vAlign w:val="center"/>
            <w:shd w:fill="17365D"/>
          </w:tcPr>
          <w:p>
            <w:pPr>
              <w:spacing w:after="0"/>
            </w:pPr>
            <w:r/>
            <w:r>
              <w:rPr>
                <w:rFonts w:ascii="Aptos" w:hAnsi="Aptos"/>
                <w:b/>
                <w:color w:val="FFFFFF"/>
                <w:sz w:val="15"/>
              </w:rPr>
              <w:t>Annex IV requirement</w:t>
            </w:r>
          </w:p>
        </w:tc>
        <w:tc>
          <w:tcPr>
            <w:tcW w:type="dxa" w:w="1871"/>
            <w:vAlign w:val="center"/>
            <w:shd w:fill="17365D"/>
          </w:tcPr>
          <w:p>
            <w:pPr>
              <w:spacing w:after="0"/>
            </w:pPr>
            <w:r/>
            <w:r>
              <w:rPr>
                <w:rFonts w:ascii="Aptos" w:hAnsi="Aptos"/>
                <w:b/>
                <w:color w:val="FFFFFF"/>
                <w:sz w:val="15"/>
              </w:rPr>
              <w:t>Document location</w:t>
            </w:r>
          </w:p>
        </w:tc>
        <w:tc>
          <w:tcPr>
            <w:tcW w:type="dxa" w:w="1304"/>
            <w:vAlign w:val="center"/>
            <w:shd w:fill="17365D"/>
          </w:tcPr>
          <w:p>
            <w:pPr>
              <w:spacing w:after="0"/>
            </w:pPr>
            <w:r/>
            <w:r>
              <w:rPr>
                <w:rFonts w:ascii="Aptos" w:hAnsi="Aptos"/>
                <w:b/>
                <w:color w:val="FFFFFF"/>
                <w:sz w:val="15"/>
              </w:rPr>
              <w:t>Status</w:t>
            </w:r>
          </w:p>
        </w:tc>
        <w:tc>
          <w:tcPr>
            <w:tcW w:type="dxa" w:w="3912"/>
            <w:vAlign w:val="center"/>
            <w:shd w:fill="17365D"/>
          </w:tcPr>
          <w:p>
            <w:pPr>
              <w:spacing w:after="0"/>
            </w:pPr>
            <w:r/>
            <w:r>
              <w:rPr>
                <w:rFonts w:ascii="Aptos" w:hAnsi="Aptos"/>
                <w:b/>
                <w:color w:val="FFFFFF"/>
                <w:sz w:val="15"/>
              </w:rPr>
              <w:t>Primary missing evidence</w:t>
            </w:r>
          </w:p>
        </w:tc>
      </w:tr>
      <w:tr>
        <w:tc>
          <w:tcPr>
            <w:tcW w:type="dxa" w:w="3118"/>
            <w:vAlign w:val="center"/>
            <w:shd w:fill="F3F6F8"/>
          </w:tcPr>
          <w:p>
            <w:pPr>
              <w:spacing w:after="0"/>
            </w:pPr>
            <w:r/>
            <w:r>
              <w:rPr>
                <w:rFonts w:ascii="Aptos" w:hAnsi="Aptos"/>
                <w:b w:val="0"/>
                <w:sz w:val="15"/>
              </w:rPr>
              <w:t>1(a) Purpose, provider, version</w:t>
            </w:r>
          </w:p>
        </w:tc>
        <w:tc>
          <w:tcPr>
            <w:tcW w:type="dxa" w:w="1871"/>
            <w:vAlign w:val="center"/>
          </w:tcPr>
          <w:p>
            <w:pPr>
              <w:spacing w:after="0"/>
            </w:pPr>
            <w:r/>
            <w:r>
              <w:rPr>
                <w:rFonts w:ascii="Aptos" w:hAnsi="Aptos"/>
                <w:b w:val="0"/>
                <w:sz w:val="15"/>
              </w:rPr>
              <w:t>§2.1</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Legal entity/contact; release tag/history</w:t>
            </w:r>
          </w:p>
        </w:tc>
      </w:tr>
      <w:tr>
        <w:tc>
          <w:tcPr>
            <w:tcW w:type="dxa" w:w="3118"/>
            <w:vAlign w:val="center"/>
            <w:shd w:fill="F3F6F8"/>
          </w:tcPr>
          <w:p>
            <w:pPr>
              <w:spacing w:after="0"/>
            </w:pPr>
            <w:r/>
            <w:r>
              <w:rPr>
                <w:rFonts w:ascii="Aptos" w:hAnsi="Aptos"/>
                <w:b w:val="0"/>
                <w:sz w:val="15"/>
              </w:rPr>
              <w:t>1(b) External interaction</w:t>
            </w:r>
          </w:p>
        </w:tc>
        <w:tc>
          <w:tcPr>
            <w:tcW w:type="dxa" w:w="1871"/>
            <w:vAlign w:val="center"/>
          </w:tcPr>
          <w:p>
            <w:pPr>
              <w:spacing w:after="0"/>
            </w:pPr>
            <w:r/>
            <w:r>
              <w:rPr>
                <w:rFonts w:ascii="Aptos" w:hAnsi="Aptos"/>
                <w:b w:val="0"/>
                <w:sz w:val="15"/>
              </w:rPr>
              <w:t>§2.3</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Production data-flow and supplier contracts</w:t>
            </w:r>
          </w:p>
        </w:tc>
      </w:tr>
      <w:tr>
        <w:tc>
          <w:tcPr>
            <w:tcW w:type="dxa" w:w="3118"/>
            <w:vAlign w:val="center"/>
            <w:shd w:fill="F3F6F8"/>
          </w:tcPr>
          <w:p>
            <w:pPr>
              <w:spacing w:after="0"/>
            </w:pPr>
            <w:r/>
            <w:r>
              <w:rPr>
                <w:rFonts w:ascii="Aptos" w:hAnsi="Aptos"/>
                <w:b w:val="0"/>
                <w:sz w:val="15"/>
              </w:rPr>
              <w:t>1(c) Software/firmware versions</w:t>
            </w:r>
          </w:p>
        </w:tc>
        <w:tc>
          <w:tcPr>
            <w:tcW w:type="dxa" w:w="1871"/>
            <w:vAlign w:val="center"/>
          </w:tcPr>
          <w:p>
            <w:pPr>
              <w:spacing w:after="0"/>
            </w:pPr>
            <w:r/>
            <w:r>
              <w:rPr>
                <w:rFonts w:ascii="Aptos" w:hAnsi="Aptos"/>
                <w:b w:val="0"/>
                <w:sz w:val="15"/>
              </w:rPr>
              <w:t>§2.4; §12.1</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Production/model/firmware baseline</w:t>
            </w:r>
          </w:p>
        </w:tc>
      </w:tr>
      <w:tr>
        <w:tc>
          <w:tcPr>
            <w:tcW w:type="dxa" w:w="3118"/>
            <w:vAlign w:val="center"/>
            <w:shd w:fill="F3F6F8"/>
          </w:tcPr>
          <w:p>
            <w:pPr>
              <w:spacing w:after="0"/>
            </w:pPr>
            <w:r/>
            <w:r>
              <w:rPr>
                <w:rFonts w:ascii="Aptos" w:hAnsi="Aptos"/>
                <w:b w:val="0"/>
                <w:sz w:val="15"/>
              </w:rPr>
              <w:t>1(d) Forms supplied</w:t>
            </w:r>
          </w:p>
        </w:tc>
        <w:tc>
          <w:tcPr>
            <w:tcW w:type="dxa" w:w="1871"/>
            <w:vAlign w:val="center"/>
          </w:tcPr>
          <w:p>
            <w:pPr>
              <w:spacing w:after="0"/>
            </w:pPr>
            <w:r/>
            <w:r>
              <w:rPr>
                <w:rFonts w:ascii="Aptos" w:hAnsi="Aptos"/>
                <w:b w:val="0"/>
                <w:sz w:val="15"/>
              </w:rPr>
              <w:t>§2.2</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Production packaging/distribution</w:t>
            </w:r>
          </w:p>
        </w:tc>
      </w:tr>
      <w:tr>
        <w:tc>
          <w:tcPr>
            <w:tcW w:type="dxa" w:w="3118"/>
            <w:vAlign w:val="center"/>
            <w:shd w:fill="F3F6F8"/>
          </w:tcPr>
          <w:p>
            <w:pPr>
              <w:spacing w:after="0"/>
            </w:pPr>
            <w:r/>
            <w:r>
              <w:rPr>
                <w:rFonts w:ascii="Aptos" w:hAnsi="Aptos"/>
                <w:b w:val="0"/>
                <w:sz w:val="15"/>
              </w:rPr>
              <w:t>1(e) Intended hardware</w:t>
            </w:r>
          </w:p>
        </w:tc>
        <w:tc>
          <w:tcPr>
            <w:tcW w:type="dxa" w:w="1871"/>
            <w:vAlign w:val="center"/>
          </w:tcPr>
          <w:p>
            <w:pPr>
              <w:spacing w:after="0"/>
            </w:pPr>
            <w:r/>
            <w:r>
              <w:rPr>
                <w:rFonts w:ascii="Aptos" w:hAnsi="Aptos"/>
                <w:b w:val="0"/>
                <w:sz w:val="15"/>
              </w:rPr>
              <w:t>§2.5; §4.2</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Production sizing and hosting inventory</w:t>
            </w:r>
          </w:p>
        </w:tc>
      </w:tr>
      <w:tr>
        <w:tc>
          <w:tcPr>
            <w:tcW w:type="dxa" w:w="3118"/>
            <w:vAlign w:val="center"/>
            <w:shd w:fill="F3F6F8"/>
          </w:tcPr>
          <w:p>
            <w:pPr>
              <w:spacing w:after="0"/>
            </w:pPr>
            <w:r/>
            <w:r>
              <w:rPr>
                <w:rFonts w:ascii="Aptos" w:hAnsi="Aptos"/>
                <w:b w:val="0"/>
                <w:sz w:val="15"/>
              </w:rPr>
              <w:t>1(f) Product photos/layout</w:t>
            </w:r>
          </w:p>
        </w:tc>
        <w:tc>
          <w:tcPr>
            <w:tcW w:type="dxa" w:w="1871"/>
            <w:vAlign w:val="center"/>
          </w:tcPr>
          <w:p>
            <w:pPr>
              <w:spacing w:after="0"/>
            </w:pPr>
            <w:r/>
            <w:r>
              <w:rPr>
                <w:rFonts w:ascii="Aptos" w:hAnsi="Aptos"/>
                <w:b w:val="0"/>
                <w:sz w:val="15"/>
              </w:rPr>
              <w:t>§2.5</w:t>
            </w:r>
          </w:p>
        </w:tc>
        <w:tc>
          <w:tcPr>
            <w:tcW w:type="dxa" w:w="1304"/>
            <w:vAlign w:val="center"/>
          </w:tcPr>
          <w:p>
            <w:pPr>
              <w:spacing w:after="0"/>
            </w:pPr>
            <w:r/>
            <w:r>
              <w:rPr>
                <w:rFonts w:ascii="Aptos" w:hAnsi="Aptos"/>
                <w:b w:val="0"/>
                <w:sz w:val="15"/>
              </w:rPr>
              <w:t>N/A proposed</w:t>
            </w:r>
          </w:p>
        </w:tc>
        <w:tc>
          <w:tcPr>
            <w:tcW w:type="dxa" w:w="3912"/>
            <w:vAlign w:val="center"/>
          </w:tcPr>
          <w:p>
            <w:pPr>
              <w:spacing w:after="0"/>
            </w:pPr>
            <w:r/>
            <w:r>
              <w:rPr>
                <w:rFonts w:ascii="Aptos" w:hAnsi="Aptos"/>
                <w:b w:val="0"/>
                <w:sz w:val="15"/>
              </w:rPr>
              <w:t>Approval of software-only rationale</w:t>
            </w:r>
          </w:p>
        </w:tc>
      </w:tr>
      <w:tr>
        <w:tc>
          <w:tcPr>
            <w:tcW w:type="dxa" w:w="3118"/>
            <w:vAlign w:val="center"/>
            <w:shd w:fill="F3F6F8"/>
          </w:tcPr>
          <w:p>
            <w:pPr>
              <w:spacing w:after="0"/>
            </w:pPr>
            <w:r/>
            <w:r>
              <w:rPr>
                <w:rFonts w:ascii="Aptos" w:hAnsi="Aptos"/>
                <w:b w:val="0"/>
                <w:sz w:val="15"/>
              </w:rPr>
              <w:t>1(g) User/install instructions</w:t>
            </w:r>
          </w:p>
        </w:tc>
        <w:tc>
          <w:tcPr>
            <w:tcW w:type="dxa" w:w="1871"/>
            <w:vAlign w:val="center"/>
          </w:tcPr>
          <w:p>
            <w:pPr>
              <w:spacing w:after="0"/>
            </w:pPr>
            <w:r/>
            <w:r>
              <w:rPr>
                <w:rFonts w:ascii="Aptos" w:hAnsi="Aptos"/>
                <w:b w:val="0"/>
                <w:sz w:val="15"/>
              </w:rPr>
              <w:t>§2.6; §6; Appendix C</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Approved controlled Instructions for Use</w:t>
            </w:r>
          </w:p>
        </w:tc>
      </w:tr>
      <w:tr>
        <w:tc>
          <w:tcPr>
            <w:tcW w:type="dxa" w:w="3118"/>
            <w:vAlign w:val="center"/>
            <w:shd w:fill="F3F6F8"/>
          </w:tcPr>
          <w:p>
            <w:pPr>
              <w:spacing w:after="0"/>
            </w:pPr>
            <w:r/>
            <w:r>
              <w:rPr>
                <w:rFonts w:ascii="Aptos" w:hAnsi="Aptos"/>
                <w:b w:val="0"/>
                <w:sz w:val="15"/>
              </w:rPr>
              <w:t>2(a) Development and third parties</w:t>
            </w:r>
          </w:p>
        </w:tc>
        <w:tc>
          <w:tcPr>
            <w:tcW w:type="dxa" w:w="1871"/>
            <w:vAlign w:val="center"/>
          </w:tcPr>
          <w:p>
            <w:pPr>
              <w:spacing w:after="0"/>
            </w:pPr>
            <w:r/>
            <w:r>
              <w:rPr>
                <w:rFonts w:ascii="Aptos" w:hAnsi="Aptos"/>
                <w:b w:val="0"/>
                <w:sz w:val="15"/>
              </w:rPr>
              <w:t>§3.1–3.2</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SDLC records and supplier evidence</w:t>
            </w:r>
          </w:p>
        </w:tc>
      </w:tr>
      <w:tr>
        <w:tc>
          <w:tcPr>
            <w:tcW w:type="dxa" w:w="3118"/>
            <w:vAlign w:val="center"/>
            <w:shd w:fill="F3F6F8"/>
          </w:tcPr>
          <w:p>
            <w:pPr>
              <w:spacing w:after="0"/>
            </w:pPr>
            <w:r/>
            <w:r>
              <w:rPr>
                <w:rFonts w:ascii="Aptos" w:hAnsi="Aptos"/>
                <w:b w:val="0"/>
                <w:sz w:val="15"/>
              </w:rPr>
              <w:t>2(b) Design choices/assumptions/trade-offs</w:t>
            </w:r>
          </w:p>
        </w:tc>
        <w:tc>
          <w:tcPr>
            <w:tcW w:type="dxa" w:w="1871"/>
            <w:vAlign w:val="center"/>
          </w:tcPr>
          <w:p>
            <w:pPr>
              <w:spacing w:after="0"/>
            </w:pPr>
            <w:r/>
            <w:r>
              <w:rPr>
                <w:rFonts w:ascii="Aptos" w:hAnsi="Aptos"/>
                <w:b w:val="0"/>
                <w:sz w:val="15"/>
              </w:rPr>
              <w:t>§3.3</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Approved decision records</w:t>
            </w:r>
          </w:p>
        </w:tc>
      </w:tr>
      <w:tr>
        <w:tc>
          <w:tcPr>
            <w:tcW w:type="dxa" w:w="3118"/>
            <w:vAlign w:val="center"/>
            <w:shd w:fill="F3F6F8"/>
          </w:tcPr>
          <w:p>
            <w:pPr>
              <w:spacing w:after="0"/>
            </w:pPr>
            <w:r/>
            <w:r>
              <w:rPr>
                <w:rFonts w:ascii="Aptos" w:hAnsi="Aptos"/>
                <w:b w:val="0"/>
                <w:sz w:val="15"/>
              </w:rPr>
              <w:t>2(c) Architecture/resources</w:t>
            </w:r>
          </w:p>
        </w:tc>
        <w:tc>
          <w:tcPr>
            <w:tcW w:type="dxa" w:w="1871"/>
            <w:vAlign w:val="center"/>
          </w:tcPr>
          <w:p>
            <w:pPr>
              <w:spacing w:after="0"/>
            </w:pPr>
            <w:r/>
            <w:r>
              <w:rPr>
                <w:rFonts w:ascii="Aptos" w:hAnsi="Aptos"/>
                <w:b w:val="0"/>
                <w:sz w:val="15"/>
              </w:rPr>
              <w:t>§4</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Production and supplier compute evidence</w:t>
            </w:r>
          </w:p>
        </w:tc>
      </w:tr>
      <w:tr>
        <w:tc>
          <w:tcPr>
            <w:tcW w:type="dxa" w:w="3118"/>
            <w:vAlign w:val="center"/>
            <w:shd w:fill="F3F6F8"/>
          </w:tcPr>
          <w:p>
            <w:pPr>
              <w:spacing w:after="0"/>
            </w:pPr>
            <w:r/>
            <w:r>
              <w:rPr>
                <w:rFonts w:ascii="Aptos" w:hAnsi="Aptos"/>
                <w:b w:val="0"/>
                <w:sz w:val="15"/>
              </w:rPr>
              <w:t>2(d) Data requirements</w:t>
            </w:r>
          </w:p>
        </w:tc>
        <w:tc>
          <w:tcPr>
            <w:tcW w:type="dxa" w:w="1871"/>
            <w:vAlign w:val="center"/>
          </w:tcPr>
          <w:p>
            <w:pPr>
              <w:spacing w:after="0"/>
            </w:pPr>
            <w:r/>
            <w:r>
              <w:rPr>
                <w:rFonts w:ascii="Aptos" w:hAnsi="Aptos"/>
                <w:b w:val="0"/>
                <w:sz w:val="15"/>
              </w:rPr>
              <w:t>§5</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Dataset register, provenance, quality, labeling</w:t>
            </w:r>
          </w:p>
        </w:tc>
      </w:tr>
      <w:tr>
        <w:tc>
          <w:tcPr>
            <w:tcW w:type="dxa" w:w="3118"/>
            <w:vAlign w:val="center"/>
            <w:shd w:fill="F3F6F8"/>
          </w:tcPr>
          <w:p>
            <w:pPr>
              <w:spacing w:after="0"/>
            </w:pPr>
            <w:r/>
            <w:r>
              <w:rPr>
                <w:rFonts w:ascii="Aptos" w:hAnsi="Aptos"/>
                <w:b w:val="0"/>
                <w:sz w:val="15"/>
              </w:rPr>
              <w:t>2(e) Human oversight assessment</w:t>
            </w:r>
          </w:p>
        </w:tc>
        <w:tc>
          <w:tcPr>
            <w:tcW w:type="dxa" w:w="1871"/>
            <w:vAlign w:val="center"/>
          </w:tcPr>
          <w:p>
            <w:pPr>
              <w:spacing w:after="0"/>
            </w:pPr>
            <w:r/>
            <w:r>
              <w:rPr>
                <w:rFonts w:ascii="Aptos" w:hAnsi="Aptos"/>
                <w:b w:val="0"/>
                <w:sz w:val="15"/>
              </w:rPr>
              <w:t>§6.2</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Competence/usability validation</w:t>
            </w:r>
          </w:p>
        </w:tc>
      </w:tr>
      <w:tr>
        <w:tc>
          <w:tcPr>
            <w:tcW w:type="dxa" w:w="3118"/>
            <w:vAlign w:val="center"/>
            <w:shd w:fill="F3F6F8"/>
          </w:tcPr>
          <w:p>
            <w:pPr>
              <w:spacing w:after="0"/>
            </w:pPr>
            <w:r/>
            <w:r>
              <w:rPr>
                <w:rFonts w:ascii="Aptos" w:hAnsi="Aptos"/>
                <w:b w:val="0"/>
                <w:sz w:val="15"/>
              </w:rPr>
              <w:t>2(f) Predetermined changes</w:t>
            </w:r>
          </w:p>
        </w:tc>
        <w:tc>
          <w:tcPr>
            <w:tcW w:type="dxa" w:w="1871"/>
            <w:vAlign w:val="center"/>
          </w:tcPr>
          <w:p>
            <w:pPr>
              <w:spacing w:after="0"/>
            </w:pPr>
            <w:r/>
            <w:r>
              <w:rPr>
                <w:rFonts w:ascii="Aptos" w:hAnsi="Aptos"/>
                <w:b w:val="0"/>
                <w:sz w:val="15"/>
              </w:rPr>
              <w:t>§11</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Approved change protocol</w:t>
            </w:r>
          </w:p>
        </w:tc>
      </w:tr>
      <w:tr>
        <w:tc>
          <w:tcPr>
            <w:tcW w:type="dxa" w:w="3118"/>
            <w:vAlign w:val="center"/>
            <w:shd w:fill="F3F6F8"/>
          </w:tcPr>
          <w:p>
            <w:pPr>
              <w:spacing w:after="0"/>
            </w:pPr>
            <w:r/>
            <w:r>
              <w:rPr>
                <w:rFonts w:ascii="Aptos" w:hAnsi="Aptos"/>
                <w:b w:val="0"/>
                <w:sz w:val="15"/>
              </w:rPr>
              <w:t>3 Monitoring/functioning/control</w:t>
            </w:r>
          </w:p>
        </w:tc>
        <w:tc>
          <w:tcPr>
            <w:tcW w:type="dxa" w:w="1871"/>
            <w:vAlign w:val="center"/>
          </w:tcPr>
          <w:p>
            <w:pPr>
              <w:spacing w:after="0"/>
            </w:pPr>
            <w:r/>
            <w:r>
              <w:rPr>
                <w:rFonts w:ascii="Aptos" w:hAnsi="Aptos"/>
                <w:b w:val="0"/>
                <w:sz w:val="15"/>
              </w:rPr>
              <w:t>§7</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Validated metrics, groups, thresholds</w:t>
            </w:r>
          </w:p>
        </w:tc>
      </w:tr>
      <w:tr>
        <w:tc>
          <w:tcPr>
            <w:tcW w:type="dxa" w:w="3118"/>
            <w:vAlign w:val="center"/>
            <w:shd w:fill="F3F6F8"/>
          </w:tcPr>
          <w:p>
            <w:pPr>
              <w:spacing w:after="0"/>
            </w:pPr>
            <w:r/>
            <w:r>
              <w:rPr>
                <w:rFonts w:ascii="Aptos" w:hAnsi="Aptos"/>
                <w:b w:val="0"/>
                <w:sz w:val="15"/>
              </w:rPr>
              <w:t>4 Performance metrics/testing</w:t>
            </w:r>
          </w:p>
        </w:tc>
        <w:tc>
          <w:tcPr>
            <w:tcW w:type="dxa" w:w="1871"/>
            <w:vAlign w:val="center"/>
          </w:tcPr>
          <w:p>
            <w:pPr>
              <w:spacing w:after="0"/>
            </w:pPr>
            <w:r/>
            <w:r>
              <w:rPr>
                <w:rFonts w:ascii="Aptos" w:hAnsi="Aptos"/>
                <w:b w:val="0"/>
                <w:sz w:val="15"/>
              </w:rPr>
              <w:t>§8</w:t>
            </w:r>
          </w:p>
        </w:tc>
        <w:tc>
          <w:tcPr>
            <w:tcW w:type="dxa" w:w="1304"/>
            <w:vAlign w:val="center"/>
          </w:tcPr>
          <w:p>
            <w:pPr>
              <w:spacing w:after="0"/>
            </w:pPr>
            <w:r/>
            <w:r>
              <w:rPr>
                <w:rFonts w:ascii="Aptos" w:hAnsi="Aptos"/>
                <w:b w:val="0"/>
                <w:sz w:val="15"/>
              </w:rPr>
              <w:t>TBC</w:t>
            </w:r>
          </w:p>
        </w:tc>
        <w:tc>
          <w:tcPr>
            <w:tcW w:type="dxa" w:w="3912"/>
            <w:vAlign w:val="center"/>
          </w:tcPr>
          <w:p>
            <w:pPr>
              <w:spacing w:after="0"/>
            </w:pPr>
            <w:r/>
            <w:r>
              <w:rPr>
                <w:rFonts w:ascii="Aptos" w:hAnsi="Aptos"/>
                <w:b w:val="0"/>
                <w:sz w:val="15"/>
              </w:rPr>
              <w:t>Executed signed reports and logs</w:t>
            </w:r>
          </w:p>
        </w:tc>
      </w:tr>
      <w:tr>
        <w:tc>
          <w:tcPr>
            <w:tcW w:type="dxa" w:w="3118"/>
            <w:vAlign w:val="center"/>
            <w:shd w:fill="F3F6F8"/>
          </w:tcPr>
          <w:p>
            <w:pPr>
              <w:spacing w:after="0"/>
            </w:pPr>
            <w:r/>
            <w:r>
              <w:rPr>
                <w:rFonts w:ascii="Aptos" w:hAnsi="Aptos"/>
                <w:b w:val="0"/>
                <w:sz w:val="15"/>
              </w:rPr>
              <w:t>5 Risk management</w:t>
            </w:r>
          </w:p>
        </w:tc>
        <w:tc>
          <w:tcPr>
            <w:tcW w:type="dxa" w:w="1871"/>
            <w:vAlign w:val="center"/>
          </w:tcPr>
          <w:p>
            <w:pPr>
              <w:spacing w:after="0"/>
            </w:pPr>
            <w:r/>
            <w:r>
              <w:rPr>
                <w:rFonts w:ascii="Aptos" w:hAnsi="Aptos"/>
                <w:b w:val="0"/>
                <w:sz w:val="15"/>
              </w:rPr>
              <w:t>§9</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Full risk file and residual approvals</w:t>
            </w:r>
          </w:p>
        </w:tc>
      </w:tr>
      <w:tr>
        <w:tc>
          <w:tcPr>
            <w:tcW w:type="dxa" w:w="3118"/>
            <w:vAlign w:val="center"/>
            <w:shd w:fill="F3F6F8"/>
          </w:tcPr>
          <w:p>
            <w:pPr>
              <w:spacing w:after="0"/>
            </w:pPr>
            <w:r/>
            <w:r>
              <w:rPr>
                <w:rFonts w:ascii="Aptos" w:hAnsi="Aptos"/>
                <w:b w:val="0"/>
                <w:sz w:val="15"/>
              </w:rPr>
              <w:t>6 Lifecycle changes</w:t>
            </w:r>
          </w:p>
        </w:tc>
        <w:tc>
          <w:tcPr>
            <w:tcW w:type="dxa" w:w="1871"/>
            <w:vAlign w:val="center"/>
          </w:tcPr>
          <w:p>
            <w:pPr>
              <w:spacing w:after="0"/>
            </w:pPr>
            <w:r/>
            <w:r>
              <w:rPr>
                <w:rFonts w:ascii="Aptos" w:hAnsi="Aptos"/>
                <w:b w:val="0"/>
                <w:sz w:val="15"/>
              </w:rPr>
              <w:t>§12</w:t>
            </w:r>
          </w:p>
        </w:tc>
        <w:tc>
          <w:tcPr>
            <w:tcW w:type="dxa" w:w="1304"/>
            <w:vAlign w:val="center"/>
          </w:tcPr>
          <w:p>
            <w:pPr>
              <w:spacing w:after="0"/>
            </w:pPr>
            <w:r/>
            <w:r>
              <w:rPr>
                <w:rFonts w:ascii="Aptos" w:hAnsi="Aptos"/>
                <w:b w:val="0"/>
                <w:sz w:val="15"/>
              </w:rPr>
              <w:t>Partial</w:t>
            </w:r>
          </w:p>
        </w:tc>
        <w:tc>
          <w:tcPr>
            <w:tcW w:type="dxa" w:w="3912"/>
            <w:vAlign w:val="center"/>
          </w:tcPr>
          <w:p>
            <w:pPr>
              <w:spacing w:after="0"/>
            </w:pPr>
            <w:r/>
            <w:r>
              <w:rPr>
                <w:rFonts w:ascii="Aptos" w:hAnsi="Aptos"/>
                <w:b w:val="0"/>
                <w:sz w:val="15"/>
              </w:rPr>
              <w:t>Controlled release/change records</w:t>
            </w:r>
          </w:p>
        </w:tc>
      </w:tr>
      <w:tr>
        <w:tc>
          <w:tcPr>
            <w:tcW w:type="dxa" w:w="3118"/>
            <w:vAlign w:val="center"/>
            <w:shd w:fill="F3F6F8"/>
          </w:tcPr>
          <w:p>
            <w:pPr>
              <w:spacing w:after="0"/>
            </w:pPr>
            <w:r/>
            <w:r>
              <w:rPr>
                <w:rFonts w:ascii="Aptos" w:hAnsi="Aptos"/>
                <w:b w:val="0"/>
                <w:sz w:val="15"/>
              </w:rPr>
              <w:t>7 Standards/specifications</w:t>
            </w:r>
          </w:p>
        </w:tc>
        <w:tc>
          <w:tcPr>
            <w:tcW w:type="dxa" w:w="1871"/>
            <w:vAlign w:val="center"/>
          </w:tcPr>
          <w:p>
            <w:pPr>
              <w:spacing w:after="0"/>
            </w:pPr>
            <w:r/>
            <w:r>
              <w:rPr>
                <w:rFonts w:ascii="Aptos" w:hAnsi="Aptos"/>
                <w:b w:val="0"/>
                <w:sz w:val="15"/>
              </w:rPr>
              <w:t>§13</w:t>
            </w:r>
          </w:p>
        </w:tc>
        <w:tc>
          <w:tcPr>
            <w:tcW w:type="dxa" w:w="1304"/>
            <w:vAlign w:val="center"/>
          </w:tcPr>
          <w:p>
            <w:pPr>
              <w:spacing w:after="0"/>
            </w:pPr>
            <w:r/>
            <w:r>
              <w:rPr>
                <w:rFonts w:ascii="Aptos" w:hAnsi="Aptos"/>
                <w:b w:val="0"/>
                <w:sz w:val="15"/>
              </w:rPr>
              <w:t>TBC</w:t>
            </w:r>
          </w:p>
        </w:tc>
        <w:tc>
          <w:tcPr>
            <w:tcW w:type="dxa" w:w="3912"/>
            <w:vAlign w:val="center"/>
          </w:tcPr>
          <w:p>
            <w:pPr>
              <w:spacing w:after="0"/>
            </w:pPr>
            <w:r/>
            <w:r>
              <w:rPr>
                <w:rFonts w:ascii="Aptos" w:hAnsi="Aptos"/>
                <w:b w:val="0"/>
                <w:sz w:val="15"/>
              </w:rPr>
              <w:t>Final applicability and evidence matrix</w:t>
            </w:r>
          </w:p>
        </w:tc>
      </w:tr>
      <w:tr>
        <w:tc>
          <w:tcPr>
            <w:tcW w:type="dxa" w:w="3118"/>
            <w:vAlign w:val="center"/>
            <w:shd w:fill="F3F6F8"/>
          </w:tcPr>
          <w:p>
            <w:pPr>
              <w:spacing w:after="0"/>
            </w:pPr>
            <w:r/>
            <w:r>
              <w:rPr>
                <w:rFonts w:ascii="Aptos" w:hAnsi="Aptos"/>
                <w:b w:val="0"/>
                <w:sz w:val="15"/>
              </w:rPr>
              <w:t>8 Declaration of conformity</w:t>
            </w:r>
          </w:p>
        </w:tc>
        <w:tc>
          <w:tcPr>
            <w:tcW w:type="dxa" w:w="1871"/>
            <w:vAlign w:val="center"/>
          </w:tcPr>
          <w:p>
            <w:pPr>
              <w:spacing w:after="0"/>
            </w:pPr>
            <w:r/>
            <w:r>
              <w:rPr>
                <w:rFonts w:ascii="Aptos" w:hAnsi="Aptos"/>
                <w:b w:val="0"/>
                <w:sz w:val="15"/>
              </w:rPr>
              <w:t>§14</w:t>
            </w:r>
          </w:p>
        </w:tc>
        <w:tc>
          <w:tcPr>
            <w:tcW w:type="dxa" w:w="1304"/>
            <w:vAlign w:val="center"/>
          </w:tcPr>
          <w:p>
            <w:pPr>
              <w:spacing w:after="0"/>
            </w:pPr>
            <w:r/>
            <w:r>
              <w:rPr>
                <w:rFonts w:ascii="Aptos" w:hAnsi="Aptos"/>
                <w:b w:val="0"/>
                <w:sz w:val="15"/>
              </w:rPr>
              <w:t>TBC</w:t>
            </w:r>
          </w:p>
        </w:tc>
        <w:tc>
          <w:tcPr>
            <w:tcW w:type="dxa" w:w="3912"/>
            <w:vAlign w:val="center"/>
          </w:tcPr>
          <w:p>
            <w:pPr>
              <w:spacing w:after="0"/>
            </w:pPr>
            <w:r/>
            <w:r>
              <w:rPr>
                <w:rFonts w:ascii="Aptos" w:hAnsi="Aptos"/>
                <w:b w:val="0"/>
                <w:sz w:val="15"/>
              </w:rPr>
              <w:t>Completed conformity process/declaration</w:t>
            </w:r>
          </w:p>
        </w:tc>
      </w:tr>
      <w:tr>
        <w:tc>
          <w:tcPr>
            <w:tcW w:type="dxa" w:w="3118"/>
            <w:vAlign w:val="center"/>
            <w:shd w:fill="F3F6F8"/>
          </w:tcPr>
          <w:p>
            <w:pPr>
              <w:spacing w:after="0"/>
            </w:pPr>
            <w:r/>
            <w:r>
              <w:rPr>
                <w:rFonts w:ascii="Aptos" w:hAnsi="Aptos"/>
                <w:b w:val="0"/>
                <w:sz w:val="15"/>
              </w:rPr>
              <w:t>9 Post-market plan</w:t>
            </w:r>
          </w:p>
        </w:tc>
        <w:tc>
          <w:tcPr>
            <w:tcW w:type="dxa" w:w="1871"/>
            <w:vAlign w:val="center"/>
          </w:tcPr>
          <w:p>
            <w:pPr>
              <w:spacing w:after="0"/>
            </w:pPr>
            <w:r/>
            <w:r>
              <w:rPr>
                <w:rFonts w:ascii="Aptos" w:hAnsi="Aptos"/>
                <w:b w:val="0"/>
                <w:sz w:val="15"/>
              </w:rPr>
              <w:t>§15</w:t>
            </w:r>
          </w:p>
        </w:tc>
        <w:tc>
          <w:tcPr>
            <w:tcW w:type="dxa" w:w="1304"/>
            <w:vAlign w:val="center"/>
          </w:tcPr>
          <w:p>
            <w:pPr>
              <w:spacing w:after="0"/>
            </w:pPr>
            <w:r/>
            <w:r>
              <w:rPr>
                <w:rFonts w:ascii="Aptos" w:hAnsi="Aptos"/>
                <w:b w:val="0"/>
                <w:sz w:val="15"/>
              </w:rPr>
              <w:t>Draft</w:t>
            </w:r>
          </w:p>
        </w:tc>
        <w:tc>
          <w:tcPr>
            <w:tcW w:type="dxa" w:w="3912"/>
            <w:vAlign w:val="center"/>
          </w:tcPr>
          <w:p>
            <w:pPr>
              <w:spacing w:after="0"/>
            </w:pPr>
            <w:r/>
            <w:r>
              <w:rPr>
                <w:rFonts w:ascii="Aptos" w:hAnsi="Aptos"/>
                <w:b w:val="0"/>
                <w:sz w:val="15"/>
              </w:rPr>
              <w:t>Approved thresholds, owners and operations</w:t>
            </w:r>
          </w:p>
        </w:tc>
      </w:tr>
    </w:tbl>
    <w:p>
      <w:pPr>
        <w:spacing w:after="0"/>
      </w:pPr>
    </w:p>
    <w:p>
      <w:pPr>
        <w:pStyle w:val="Heading1"/>
      </w:pPr>
      <w:r>
        <w:t>Appendix A — Evidence index</w:t>
      </w:r>
    </w:p>
    <w:tbl>
      <w:tblPr>
        <w:tblStyle w:val="TableGrid"/>
        <w:tblW w:type="auto" w:w="0"/>
        <w:jc w:val="center"/>
        <w:tblLook w:firstColumn="1" w:firstRow="1" w:lastColumn="0" w:lastRow="0" w:noHBand="0" w:noVBand="1" w:val="04A0"/>
      </w:tblPr>
      <w:tblGrid>
        <w:gridCol w:w="2006"/>
        <w:gridCol w:w="2006"/>
        <w:gridCol w:w="2006"/>
        <w:gridCol w:w="2006"/>
        <w:gridCol w:w="2006"/>
      </w:tblGrid>
      <w:tr>
        <w:tc>
          <w:tcPr>
            <w:tcW w:type="dxa" w:w="1134"/>
            <w:vAlign w:val="center"/>
            <w:shd w:fill="17365D"/>
          </w:tcPr>
          <w:p>
            <w:pPr>
              <w:spacing w:after="0"/>
            </w:pPr>
            <w:r/>
            <w:r>
              <w:rPr>
                <w:rFonts w:ascii="Aptos" w:hAnsi="Aptos"/>
                <w:b/>
                <w:color w:val="FFFFFF"/>
                <w:sz w:val="17"/>
              </w:rPr>
              <w:t>Evidence ID</w:t>
            </w:r>
          </w:p>
        </w:tc>
        <w:tc>
          <w:tcPr>
            <w:tcW w:type="dxa" w:w="2835"/>
            <w:vAlign w:val="center"/>
            <w:shd w:fill="17365D"/>
          </w:tcPr>
          <w:p>
            <w:pPr>
              <w:spacing w:after="0"/>
            </w:pPr>
            <w:r/>
            <w:r>
              <w:rPr>
                <w:rFonts w:ascii="Aptos" w:hAnsi="Aptos"/>
                <w:b/>
                <w:color w:val="FFFFFF"/>
                <w:sz w:val="17"/>
              </w:rPr>
              <w:t>Artifact</w:t>
            </w:r>
          </w:p>
        </w:tc>
        <w:tc>
          <w:tcPr>
            <w:tcW w:type="dxa" w:w="1701"/>
            <w:vAlign w:val="center"/>
            <w:shd w:fill="17365D"/>
          </w:tcPr>
          <w:p>
            <w:pPr>
              <w:spacing w:after="0"/>
            </w:pPr>
            <w:r/>
            <w:r>
              <w:rPr>
                <w:rFonts w:ascii="Aptos" w:hAnsi="Aptos"/>
                <w:b/>
                <w:color w:val="FFFFFF"/>
                <w:sz w:val="17"/>
              </w:rPr>
              <w:t>Version/date</w:t>
            </w:r>
          </w:p>
        </w:tc>
        <w:tc>
          <w:tcPr>
            <w:tcW w:type="dxa" w:w="1701"/>
            <w:vAlign w:val="center"/>
            <w:shd w:fill="17365D"/>
          </w:tcPr>
          <w:p>
            <w:pPr>
              <w:spacing w:after="0"/>
            </w:pPr>
            <w:r/>
            <w:r>
              <w:rPr>
                <w:rFonts w:ascii="Aptos" w:hAnsi="Aptos"/>
                <w:b/>
                <w:color w:val="FFFFFF"/>
                <w:sz w:val="17"/>
              </w:rPr>
              <w:t>Owner</w:t>
            </w:r>
          </w:p>
        </w:tc>
        <w:tc>
          <w:tcPr>
            <w:tcW w:type="dxa" w:w="2835"/>
            <w:vAlign w:val="center"/>
            <w:shd w:fill="17365D"/>
          </w:tcPr>
          <w:p>
            <w:pPr>
              <w:spacing w:after="0"/>
            </w:pPr>
            <w:r/>
            <w:r>
              <w:rPr>
                <w:rFonts w:ascii="Aptos" w:hAnsi="Aptos"/>
                <w:b/>
                <w:color w:val="FFFFFF"/>
                <w:sz w:val="17"/>
              </w:rPr>
              <w:t>Location / status</w:t>
            </w:r>
          </w:p>
        </w:tc>
      </w:tr>
      <w:tr>
        <w:tc>
          <w:tcPr>
            <w:tcW w:type="dxa" w:w="1134"/>
            <w:vAlign w:val="center"/>
            <w:shd w:fill="F3F6F8"/>
          </w:tcPr>
          <w:p>
            <w:pPr>
              <w:spacing w:after="0"/>
            </w:pPr>
            <w:r/>
            <w:r>
              <w:rPr>
                <w:rFonts w:ascii="Aptos" w:hAnsi="Aptos"/>
                <w:b w:val="0"/>
                <w:sz w:val="17"/>
              </w:rPr>
              <w:t>E-01</w:t>
            </w:r>
          </w:p>
        </w:tc>
        <w:tc>
          <w:tcPr>
            <w:tcW w:type="dxa" w:w="2835"/>
            <w:vAlign w:val="center"/>
          </w:tcPr>
          <w:p>
            <w:pPr>
              <w:spacing w:after="0"/>
            </w:pPr>
            <w:r/>
            <w:r>
              <w:rPr>
                <w:rFonts w:ascii="Aptos" w:hAnsi="Aptos"/>
                <w:b w:val="0"/>
                <w:sz w:val="17"/>
              </w:rPr>
              <w:t>Repository README</w:t>
            </w:r>
          </w:p>
        </w:tc>
        <w:tc>
          <w:tcPr>
            <w:tcW w:type="dxa" w:w="1701"/>
            <w:vAlign w:val="center"/>
          </w:tcPr>
          <w:p>
            <w:pPr>
              <w:spacing w:after="0"/>
            </w:pPr>
            <w:r/>
            <w:r>
              <w:rPr>
                <w:rFonts w:ascii="Aptos" w:hAnsi="Aptos"/>
                <w:b w:val="0"/>
                <w:sz w:val="17"/>
              </w:rPr>
              <w:t>Baseline 83b8c29</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README.md</w:t>
            </w:r>
          </w:p>
        </w:tc>
      </w:tr>
      <w:tr>
        <w:tc>
          <w:tcPr>
            <w:tcW w:type="dxa" w:w="1134"/>
            <w:vAlign w:val="center"/>
            <w:shd w:fill="F3F6F8"/>
          </w:tcPr>
          <w:p>
            <w:pPr>
              <w:spacing w:after="0"/>
            </w:pPr>
            <w:r/>
            <w:r>
              <w:rPr>
                <w:rFonts w:ascii="Aptos" w:hAnsi="Aptos"/>
                <w:b w:val="0"/>
                <w:sz w:val="17"/>
              </w:rPr>
              <w:t>E-02</w:t>
            </w:r>
          </w:p>
        </w:tc>
        <w:tc>
          <w:tcPr>
            <w:tcW w:type="dxa" w:w="2835"/>
            <w:vAlign w:val="center"/>
          </w:tcPr>
          <w:p>
            <w:pPr>
              <w:spacing w:after="0"/>
            </w:pPr>
            <w:r/>
            <w:r>
              <w:rPr>
                <w:rFonts w:ascii="Aptos" w:hAnsi="Aptos"/>
                <w:b w:val="0"/>
                <w:sz w:val="17"/>
              </w:rPr>
              <w:t>Architecture description</w:t>
            </w:r>
          </w:p>
        </w:tc>
        <w:tc>
          <w:tcPr>
            <w:tcW w:type="dxa" w:w="1701"/>
            <w:vAlign w:val="center"/>
          </w:tcPr>
          <w:p>
            <w:pPr>
              <w:spacing w:after="0"/>
            </w:pPr>
            <w:r/>
            <w:r>
              <w:rPr>
                <w:rFonts w:ascii="Aptos" w:hAnsi="Aptos"/>
                <w:b w:val="0"/>
                <w:sz w:val="17"/>
              </w:rPr>
              <w:t>Baseline 83b8c29</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architecture.md</w:t>
            </w:r>
          </w:p>
        </w:tc>
      </w:tr>
      <w:tr>
        <w:tc>
          <w:tcPr>
            <w:tcW w:type="dxa" w:w="1134"/>
            <w:vAlign w:val="center"/>
            <w:shd w:fill="F3F6F8"/>
          </w:tcPr>
          <w:p>
            <w:pPr>
              <w:spacing w:after="0"/>
            </w:pPr>
            <w:r/>
            <w:r>
              <w:rPr>
                <w:rFonts w:ascii="Aptos" w:hAnsi="Aptos"/>
                <w:b w:val="0"/>
                <w:sz w:val="17"/>
              </w:rPr>
              <w:t>E-03</w:t>
            </w:r>
          </w:p>
        </w:tc>
        <w:tc>
          <w:tcPr>
            <w:tcW w:type="dxa" w:w="2835"/>
            <w:vAlign w:val="center"/>
          </w:tcPr>
          <w:p>
            <w:pPr>
              <w:spacing w:after="0"/>
            </w:pPr>
            <w:r/>
            <w:r>
              <w:rPr>
                <w:rFonts w:ascii="Aptos" w:hAnsi="Aptos"/>
                <w:b w:val="0"/>
                <w:sz w:val="17"/>
              </w:rPr>
              <w:t>Implementation plan/status</w:t>
            </w:r>
          </w:p>
        </w:tc>
        <w:tc>
          <w:tcPr>
            <w:tcW w:type="dxa" w:w="1701"/>
            <w:vAlign w:val="center"/>
          </w:tcPr>
          <w:p>
            <w:pPr>
              <w:spacing w:after="0"/>
            </w:pPr>
            <w:r/>
            <w:r>
              <w:rPr>
                <w:rFonts w:ascii="Aptos" w:hAnsi="Aptos"/>
                <w:b w:val="0"/>
                <w:sz w:val="17"/>
              </w:rPr>
              <w:t>Baseline 83b8c29</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implementation_plan.md</w:t>
            </w:r>
          </w:p>
        </w:tc>
      </w:tr>
      <w:tr>
        <w:tc>
          <w:tcPr>
            <w:tcW w:type="dxa" w:w="1134"/>
            <w:vAlign w:val="center"/>
            <w:shd w:fill="F3F6F8"/>
          </w:tcPr>
          <w:p>
            <w:pPr>
              <w:spacing w:after="0"/>
            </w:pPr>
            <w:r/>
            <w:r>
              <w:rPr>
                <w:rFonts w:ascii="Aptos" w:hAnsi="Aptos"/>
                <w:b w:val="0"/>
                <w:sz w:val="17"/>
              </w:rPr>
              <w:t>E-04</w:t>
            </w:r>
          </w:p>
        </w:tc>
        <w:tc>
          <w:tcPr>
            <w:tcW w:type="dxa" w:w="2835"/>
            <w:vAlign w:val="center"/>
          </w:tcPr>
          <w:p>
            <w:pPr>
              <w:spacing w:after="0"/>
            </w:pPr>
            <w:r/>
            <w:r>
              <w:rPr>
                <w:rFonts w:ascii="Aptos" w:hAnsi="Aptos"/>
                <w:b w:val="0"/>
                <w:sz w:val="17"/>
              </w:rPr>
              <w:t>Installation manual</w:t>
            </w:r>
          </w:p>
        </w:tc>
        <w:tc>
          <w:tcPr>
            <w:tcW w:type="dxa" w:w="1701"/>
            <w:vAlign w:val="center"/>
          </w:tcPr>
          <w:p>
            <w:pPr>
              <w:spacing w:after="0"/>
            </w:pPr>
            <w:r/>
            <w:r>
              <w:rPr>
                <w:rFonts w:ascii="Aptos" w:hAnsi="Aptos"/>
                <w:b w:val="0"/>
                <w:sz w:val="17"/>
              </w:rPr>
              <w:t>v1.0</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CreditDossier_1.0_Installation_Manual_v1.0_Updated.docx</w:t>
            </w:r>
          </w:p>
        </w:tc>
      </w:tr>
      <w:tr>
        <w:tc>
          <w:tcPr>
            <w:tcW w:type="dxa" w:w="1134"/>
            <w:vAlign w:val="center"/>
            <w:shd w:fill="F3F6F8"/>
          </w:tcPr>
          <w:p>
            <w:pPr>
              <w:spacing w:after="0"/>
            </w:pPr>
            <w:r/>
            <w:r>
              <w:rPr>
                <w:rFonts w:ascii="Aptos" w:hAnsi="Aptos"/>
                <w:b w:val="0"/>
                <w:sz w:val="17"/>
              </w:rPr>
              <w:t>E-05</w:t>
            </w:r>
          </w:p>
        </w:tc>
        <w:tc>
          <w:tcPr>
            <w:tcW w:type="dxa" w:w="2835"/>
            <w:vAlign w:val="center"/>
          </w:tcPr>
          <w:p>
            <w:pPr>
              <w:spacing w:after="0"/>
            </w:pPr>
            <w:r/>
            <w:r>
              <w:rPr>
                <w:rFonts w:ascii="Aptos" w:hAnsi="Aptos"/>
                <w:b w:val="0"/>
                <w:sz w:val="17"/>
              </w:rPr>
              <w:t>Architecture document</w:t>
            </w:r>
          </w:p>
        </w:tc>
        <w:tc>
          <w:tcPr>
            <w:tcW w:type="dxa" w:w="1701"/>
            <w:vAlign w:val="center"/>
          </w:tcPr>
          <w:p>
            <w:pPr>
              <w:spacing w:after="0"/>
            </w:pPr>
            <w:r/>
            <w:r>
              <w:rPr>
                <w:rFonts w:ascii="Aptos" w:hAnsi="Aptos"/>
                <w:b w:val="0"/>
                <w:sz w:val="17"/>
              </w:rPr>
              <w:t>v1.0</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Credit_Dossier_Architecture_Document_v1.0.docx</w:t>
            </w:r>
          </w:p>
        </w:tc>
      </w:tr>
      <w:tr>
        <w:tc>
          <w:tcPr>
            <w:tcW w:type="dxa" w:w="1134"/>
            <w:vAlign w:val="center"/>
            <w:shd w:fill="F3F6F8"/>
          </w:tcPr>
          <w:p>
            <w:pPr>
              <w:spacing w:after="0"/>
            </w:pPr>
            <w:r/>
            <w:r>
              <w:rPr>
                <w:rFonts w:ascii="Aptos" w:hAnsi="Aptos"/>
                <w:b w:val="0"/>
                <w:sz w:val="17"/>
              </w:rPr>
              <w:t>E-06</w:t>
            </w:r>
          </w:p>
        </w:tc>
        <w:tc>
          <w:tcPr>
            <w:tcW w:type="dxa" w:w="2835"/>
            <w:vAlign w:val="center"/>
          </w:tcPr>
          <w:p>
            <w:pPr>
              <w:spacing w:after="0"/>
            </w:pPr>
            <w:r/>
            <w:r>
              <w:rPr>
                <w:rFonts w:ascii="Aptos" w:hAnsi="Aptos"/>
                <w:b w:val="0"/>
                <w:sz w:val="17"/>
              </w:rPr>
              <w:t>Backend dependency baseline</w:t>
            </w:r>
          </w:p>
        </w:tc>
        <w:tc>
          <w:tcPr>
            <w:tcW w:type="dxa" w:w="1701"/>
            <w:vAlign w:val="center"/>
          </w:tcPr>
          <w:p>
            <w:pPr>
              <w:spacing w:after="0"/>
            </w:pPr>
            <w:r/>
            <w:r>
              <w:rPr>
                <w:rFonts w:ascii="Aptos" w:hAnsi="Aptos"/>
                <w:b w:val="0"/>
                <w:sz w:val="17"/>
              </w:rPr>
              <w:t>Baseline 83b8c29</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backend/requirements.txt</w:t>
            </w:r>
          </w:p>
        </w:tc>
      </w:tr>
      <w:tr>
        <w:tc>
          <w:tcPr>
            <w:tcW w:type="dxa" w:w="1134"/>
            <w:vAlign w:val="center"/>
            <w:shd w:fill="F3F6F8"/>
          </w:tcPr>
          <w:p>
            <w:pPr>
              <w:spacing w:after="0"/>
            </w:pPr>
            <w:r/>
            <w:r>
              <w:rPr>
                <w:rFonts w:ascii="Aptos" w:hAnsi="Aptos"/>
                <w:b w:val="0"/>
                <w:sz w:val="17"/>
              </w:rPr>
              <w:t>E-07</w:t>
            </w:r>
          </w:p>
        </w:tc>
        <w:tc>
          <w:tcPr>
            <w:tcW w:type="dxa" w:w="2835"/>
            <w:vAlign w:val="center"/>
          </w:tcPr>
          <w:p>
            <w:pPr>
              <w:spacing w:after="0"/>
            </w:pPr>
            <w:r/>
            <w:r>
              <w:rPr>
                <w:rFonts w:ascii="Aptos" w:hAnsi="Aptos"/>
                <w:b w:val="0"/>
                <w:sz w:val="17"/>
              </w:rPr>
              <w:t>Frontend dependency baseline</w:t>
            </w:r>
          </w:p>
        </w:tc>
        <w:tc>
          <w:tcPr>
            <w:tcW w:type="dxa" w:w="1701"/>
            <w:vAlign w:val="center"/>
          </w:tcPr>
          <w:p>
            <w:pPr>
              <w:spacing w:after="0"/>
            </w:pPr>
            <w:r/>
            <w:r>
              <w:rPr>
                <w:rFonts w:ascii="Aptos" w:hAnsi="Aptos"/>
                <w:b w:val="0"/>
                <w:sz w:val="17"/>
              </w:rPr>
              <w:t>Baseline 83b8c29</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frontend/package-lock.json</w:t>
            </w:r>
          </w:p>
        </w:tc>
      </w:tr>
      <w:tr>
        <w:tc>
          <w:tcPr>
            <w:tcW w:type="dxa" w:w="1134"/>
            <w:vAlign w:val="center"/>
            <w:shd w:fill="F3F6F8"/>
          </w:tcPr>
          <w:p>
            <w:pPr>
              <w:spacing w:after="0"/>
            </w:pPr>
            <w:r/>
            <w:r>
              <w:rPr>
                <w:rFonts w:ascii="Aptos" w:hAnsi="Aptos"/>
                <w:b w:val="0"/>
                <w:sz w:val="17"/>
              </w:rPr>
              <w:t>E-08</w:t>
            </w:r>
          </w:p>
        </w:tc>
        <w:tc>
          <w:tcPr>
            <w:tcW w:type="dxa" w:w="2835"/>
            <w:vAlign w:val="center"/>
          </w:tcPr>
          <w:p>
            <w:pPr>
              <w:spacing w:after="0"/>
            </w:pPr>
            <w:r/>
            <w:r>
              <w:rPr>
                <w:rFonts w:ascii="Aptos" w:hAnsi="Aptos"/>
                <w:b w:val="0"/>
                <w:sz w:val="17"/>
              </w:rPr>
              <w:t>Configuration examples</w:t>
            </w:r>
          </w:p>
        </w:tc>
        <w:tc>
          <w:tcPr>
            <w:tcW w:type="dxa" w:w="1701"/>
            <w:vAlign w:val="center"/>
          </w:tcPr>
          <w:p>
            <w:pPr>
              <w:spacing w:after="0"/>
            </w:pPr>
            <w:r/>
            <w:r>
              <w:rPr>
                <w:rFonts w:ascii="Aptos" w:hAnsi="Aptos"/>
                <w:b w:val="0"/>
                <w:sz w:val="17"/>
              </w:rPr>
              <w:t>Baseline 83b8c29</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backend/.env.example; mcp/.env.example</w:t>
            </w:r>
          </w:p>
        </w:tc>
      </w:tr>
      <w:tr>
        <w:tc>
          <w:tcPr>
            <w:tcW w:type="dxa" w:w="1134"/>
            <w:vAlign w:val="center"/>
            <w:shd w:fill="F3F6F8"/>
          </w:tcPr>
          <w:p>
            <w:pPr>
              <w:spacing w:after="0"/>
            </w:pPr>
            <w:r/>
            <w:r>
              <w:rPr>
                <w:rFonts w:ascii="Aptos" w:hAnsi="Aptos"/>
                <w:b w:val="0"/>
                <w:sz w:val="17"/>
              </w:rPr>
              <w:t>E-09</w:t>
            </w:r>
          </w:p>
        </w:tc>
        <w:tc>
          <w:tcPr>
            <w:tcW w:type="dxa" w:w="2835"/>
            <w:vAlign w:val="center"/>
          </w:tcPr>
          <w:p>
            <w:pPr>
              <w:spacing w:after="0"/>
            </w:pPr>
            <w:r/>
            <w:r>
              <w:rPr>
                <w:rFonts w:ascii="Aptos" w:hAnsi="Aptos"/>
                <w:b w:val="0"/>
                <w:sz w:val="17"/>
              </w:rPr>
              <w:t>Error catalog</w:t>
            </w:r>
          </w:p>
        </w:tc>
        <w:tc>
          <w:tcPr>
            <w:tcW w:type="dxa" w:w="1701"/>
            <w:vAlign w:val="center"/>
          </w:tcPr>
          <w:p>
            <w:pPr>
              <w:spacing w:after="0"/>
            </w:pPr>
            <w:r/>
            <w:r>
              <w:rPr>
                <w:rFonts w:ascii="Aptos" w:hAnsi="Aptos"/>
                <w:b w:val="0"/>
                <w:sz w:val="17"/>
              </w:rPr>
              <w:t>Baseline 83b8c29</w:t>
            </w:r>
          </w:p>
        </w:tc>
        <w:tc>
          <w:tcPr>
            <w:tcW w:type="dxa" w:w="1701"/>
            <w:vAlign w:val="center"/>
          </w:tcPr>
          <w:p>
            <w:pPr>
              <w:spacing w:after="0"/>
            </w:pPr>
            <w:r/>
            <w:r>
              <w:rPr>
                <w:rFonts w:ascii="Aptos" w:hAnsi="Aptos"/>
                <w:b w:val="0"/>
                <w:sz w:val="17"/>
              </w:rPr>
              <w:t>Engineering</w:t>
            </w:r>
          </w:p>
        </w:tc>
        <w:tc>
          <w:tcPr>
            <w:tcW w:type="dxa" w:w="2835"/>
            <w:vAlign w:val="center"/>
          </w:tcPr>
          <w:p>
            <w:pPr>
              <w:spacing w:after="0"/>
            </w:pPr>
            <w:r/>
            <w:r>
              <w:rPr>
                <w:rFonts w:ascii="Aptos" w:hAnsi="Aptos"/>
                <w:b w:val="0"/>
                <w:sz w:val="17"/>
              </w:rPr>
              <w:t>error_codes.md</w:t>
            </w:r>
          </w:p>
        </w:tc>
      </w:tr>
      <w:tr>
        <w:tc>
          <w:tcPr>
            <w:tcW w:type="dxa" w:w="1134"/>
            <w:vAlign w:val="center"/>
            <w:shd w:fill="F3F6F8"/>
          </w:tcPr>
          <w:p>
            <w:pPr>
              <w:spacing w:after="0"/>
            </w:pPr>
            <w:r/>
            <w:r>
              <w:rPr>
                <w:rFonts w:ascii="Aptos" w:hAnsi="Aptos"/>
                <w:b w:val="0"/>
                <w:sz w:val="17"/>
              </w:rPr>
              <w:t>E-10</w:t>
            </w:r>
          </w:p>
        </w:tc>
        <w:tc>
          <w:tcPr>
            <w:tcW w:type="dxa" w:w="2835"/>
            <w:vAlign w:val="center"/>
          </w:tcPr>
          <w:p>
            <w:pPr>
              <w:spacing w:after="0"/>
            </w:pPr>
            <w:r/>
            <w:r>
              <w:rPr>
                <w:rFonts w:ascii="Aptos" w:hAnsi="Aptos"/>
                <w:b w:val="0"/>
                <w:sz w:val="17"/>
              </w:rPr>
              <w:t>Formal test reports</w:t>
            </w:r>
          </w:p>
        </w:tc>
        <w:tc>
          <w:tcPr>
            <w:tcW w:type="dxa" w:w="1701"/>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QA</w:t>
            </w:r>
          </w:p>
        </w:tc>
        <w:tc>
          <w:tcPr>
            <w:tcW w:type="dxa" w:w="2835"/>
            <w:vAlign w:val="center"/>
          </w:tcPr>
          <w:p>
            <w:pPr>
              <w:spacing w:after="0"/>
            </w:pPr>
            <w:r/>
            <w:r>
              <w:rPr>
                <w:rFonts w:ascii="Aptos" w:hAnsi="Aptos"/>
                <w:b w:val="0"/>
                <w:sz w:val="17"/>
              </w:rPr>
              <w:t>Not supplied</w:t>
            </w:r>
          </w:p>
        </w:tc>
      </w:tr>
      <w:tr>
        <w:tc>
          <w:tcPr>
            <w:tcW w:type="dxa" w:w="1134"/>
            <w:vAlign w:val="center"/>
            <w:shd w:fill="F3F6F8"/>
          </w:tcPr>
          <w:p>
            <w:pPr>
              <w:spacing w:after="0"/>
            </w:pPr>
            <w:r/>
            <w:r>
              <w:rPr>
                <w:rFonts w:ascii="Aptos" w:hAnsi="Aptos"/>
                <w:b w:val="0"/>
                <w:sz w:val="17"/>
              </w:rPr>
              <w:t>E-11</w:t>
            </w:r>
          </w:p>
        </w:tc>
        <w:tc>
          <w:tcPr>
            <w:tcW w:type="dxa" w:w="2835"/>
            <w:vAlign w:val="center"/>
          </w:tcPr>
          <w:p>
            <w:pPr>
              <w:spacing w:after="0"/>
            </w:pPr>
            <w:r/>
            <w:r>
              <w:rPr>
                <w:rFonts w:ascii="Aptos" w:hAnsi="Aptos"/>
                <w:b w:val="0"/>
                <w:sz w:val="17"/>
              </w:rPr>
              <w:t>Risk/DPIA/FRIA/classification</w:t>
            </w:r>
          </w:p>
        </w:tc>
        <w:tc>
          <w:tcPr>
            <w:tcW w:type="dxa" w:w="1701"/>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Risk/Legal/DPO</w:t>
            </w:r>
          </w:p>
        </w:tc>
        <w:tc>
          <w:tcPr>
            <w:tcW w:type="dxa" w:w="2835"/>
            <w:vAlign w:val="center"/>
          </w:tcPr>
          <w:p>
            <w:pPr>
              <w:spacing w:after="0"/>
            </w:pPr>
            <w:r/>
            <w:r>
              <w:rPr>
                <w:rFonts w:ascii="Aptos" w:hAnsi="Aptos"/>
                <w:b w:val="0"/>
                <w:sz w:val="17"/>
              </w:rPr>
              <w:t>Not supplied</w:t>
            </w:r>
          </w:p>
        </w:tc>
      </w:tr>
      <w:tr>
        <w:tc>
          <w:tcPr>
            <w:tcW w:type="dxa" w:w="1134"/>
            <w:vAlign w:val="center"/>
            <w:shd w:fill="F3F6F8"/>
          </w:tcPr>
          <w:p>
            <w:pPr>
              <w:spacing w:after="0"/>
            </w:pPr>
            <w:r/>
            <w:r>
              <w:rPr>
                <w:rFonts w:ascii="Aptos" w:hAnsi="Aptos"/>
                <w:b w:val="0"/>
                <w:sz w:val="17"/>
              </w:rPr>
              <w:t>E-12</w:t>
            </w:r>
          </w:p>
        </w:tc>
        <w:tc>
          <w:tcPr>
            <w:tcW w:type="dxa" w:w="2835"/>
            <w:vAlign w:val="center"/>
          </w:tcPr>
          <w:p>
            <w:pPr>
              <w:spacing w:after="0"/>
            </w:pPr>
            <w:r/>
            <w:r>
              <w:rPr>
                <w:rFonts w:ascii="Aptos" w:hAnsi="Aptos"/>
                <w:b w:val="0"/>
                <w:sz w:val="17"/>
              </w:rPr>
              <w:t>Supplier/model documentation</w:t>
            </w:r>
          </w:p>
        </w:tc>
        <w:tc>
          <w:tcPr>
            <w:tcW w:type="dxa" w:w="1701"/>
            <w:vAlign w:val="center"/>
          </w:tcPr>
          <w:p>
            <w:pPr>
              <w:spacing w:after="0"/>
            </w:pPr>
            <w:r/>
            <w:r>
              <w:rPr>
                <w:rFonts w:ascii="Aptos" w:hAnsi="Aptos"/>
                <w:b w:val="0"/>
                <w:sz w:val="17"/>
              </w:rPr>
              <w:t>TBC</w:t>
            </w:r>
          </w:p>
        </w:tc>
        <w:tc>
          <w:tcPr>
            <w:tcW w:type="dxa" w:w="1701"/>
            <w:vAlign w:val="center"/>
          </w:tcPr>
          <w:p>
            <w:pPr>
              <w:spacing w:after="0"/>
            </w:pPr>
            <w:r/>
            <w:r>
              <w:rPr>
                <w:rFonts w:ascii="Aptos" w:hAnsi="Aptos"/>
                <w:b w:val="0"/>
                <w:sz w:val="17"/>
              </w:rPr>
              <w:t>Vendor Owner</w:t>
            </w:r>
          </w:p>
        </w:tc>
        <w:tc>
          <w:tcPr>
            <w:tcW w:type="dxa" w:w="2835"/>
            <w:vAlign w:val="center"/>
          </w:tcPr>
          <w:p>
            <w:pPr>
              <w:spacing w:after="0"/>
            </w:pPr>
            <w:r/>
            <w:r>
              <w:rPr>
                <w:rFonts w:ascii="Aptos" w:hAnsi="Aptos"/>
                <w:b w:val="0"/>
                <w:sz w:val="17"/>
              </w:rPr>
              <w:t>Not supplied</w:t>
            </w:r>
          </w:p>
        </w:tc>
      </w:tr>
    </w:tbl>
    <w:p>
      <w:pPr>
        <w:spacing w:after="0"/>
      </w:pPr>
    </w:p>
    <w:p>
      <w:pPr>
        <w:pStyle w:val="Heading1"/>
      </w:pPr>
      <w:r>
        <w:t>Appendix B — Responsible-person test report sign-off</w:t>
      </w:r>
    </w:p>
    <w:tbl>
      <w:tblPr>
        <w:tblStyle w:val="TableGrid"/>
        <w:tblW w:type="auto" w:w="0"/>
        <w:jc w:val="center"/>
        <w:tblLook w:firstColumn="1" w:firstRow="1" w:lastColumn="0" w:lastRow="0" w:noHBand="0" w:noVBand="1" w:val="04A0"/>
      </w:tblPr>
      <w:tblGrid>
        <w:gridCol w:w="1671"/>
        <w:gridCol w:w="1671"/>
        <w:gridCol w:w="1671"/>
        <w:gridCol w:w="1671"/>
        <w:gridCol w:w="1671"/>
        <w:gridCol w:w="1671"/>
      </w:tblGrid>
      <w:tr>
        <w:tc>
          <w:tcPr>
            <w:tcW w:type="dxa" w:w="2381"/>
            <w:vAlign w:val="center"/>
            <w:shd w:fill="17365D"/>
          </w:tcPr>
          <w:p>
            <w:pPr>
              <w:spacing w:after="0"/>
            </w:pPr>
            <w:r/>
            <w:r>
              <w:rPr>
                <w:rFonts w:ascii="Aptos" w:hAnsi="Aptos"/>
                <w:b/>
                <w:color w:val="FFFFFF"/>
                <w:sz w:val="17"/>
              </w:rPr>
              <w:t>Report</w:t>
            </w:r>
          </w:p>
        </w:tc>
        <w:tc>
          <w:tcPr>
            <w:tcW w:type="dxa" w:w="1701"/>
            <w:vAlign w:val="center"/>
            <w:shd w:fill="17365D"/>
          </w:tcPr>
          <w:p>
            <w:pPr>
              <w:spacing w:after="0"/>
            </w:pPr>
            <w:r/>
            <w:r>
              <w:rPr>
                <w:rFonts w:ascii="Aptos" w:hAnsi="Aptos"/>
                <w:b/>
                <w:color w:val="FFFFFF"/>
                <w:sz w:val="17"/>
              </w:rPr>
              <w:t>Report ID/version</w:t>
            </w:r>
          </w:p>
        </w:tc>
        <w:tc>
          <w:tcPr>
            <w:tcW w:type="dxa" w:w="1587"/>
            <w:vAlign w:val="center"/>
            <w:shd w:fill="17365D"/>
          </w:tcPr>
          <w:p>
            <w:pPr>
              <w:spacing w:after="0"/>
            </w:pPr>
            <w:r/>
            <w:r>
              <w:rPr>
                <w:rFonts w:ascii="Aptos" w:hAnsi="Aptos"/>
                <w:b/>
                <w:color w:val="FFFFFF"/>
                <w:sz w:val="17"/>
              </w:rPr>
              <w:t>Execution date</w:t>
            </w:r>
          </w:p>
        </w:tc>
        <w:tc>
          <w:tcPr>
            <w:tcW w:type="dxa" w:w="1984"/>
            <w:vAlign w:val="center"/>
            <w:shd w:fill="17365D"/>
          </w:tcPr>
          <w:p>
            <w:pPr>
              <w:spacing w:after="0"/>
            </w:pPr>
            <w:r/>
            <w:r>
              <w:rPr>
                <w:rFonts w:ascii="Aptos" w:hAnsi="Aptos"/>
                <w:b/>
                <w:color w:val="FFFFFF"/>
                <w:sz w:val="17"/>
              </w:rPr>
              <w:t>Responsible person</w:t>
            </w:r>
          </w:p>
        </w:tc>
        <w:tc>
          <w:tcPr>
            <w:tcW w:type="dxa" w:w="1304"/>
            <w:vAlign w:val="center"/>
            <w:shd w:fill="17365D"/>
          </w:tcPr>
          <w:p>
            <w:pPr>
              <w:spacing w:after="0"/>
            </w:pPr>
            <w:r/>
            <w:r>
              <w:rPr>
                <w:rFonts w:ascii="Aptos" w:hAnsi="Aptos"/>
                <w:b/>
                <w:color w:val="FFFFFF"/>
                <w:sz w:val="17"/>
              </w:rPr>
              <w:t>Decision</w:t>
            </w:r>
          </w:p>
        </w:tc>
        <w:tc>
          <w:tcPr>
            <w:tcW w:type="dxa" w:w="1701"/>
            <w:vAlign w:val="center"/>
            <w:shd w:fill="17365D"/>
          </w:tcPr>
          <w:p>
            <w:pPr>
              <w:spacing w:after="0"/>
            </w:pPr>
            <w:r/>
            <w:r>
              <w:rPr>
                <w:rFonts w:ascii="Aptos" w:hAnsi="Aptos"/>
                <w:b/>
                <w:color w:val="FFFFFF"/>
                <w:sz w:val="17"/>
              </w:rPr>
              <w:t>Signature/date</w:t>
            </w:r>
          </w:p>
        </w:tc>
      </w:tr>
      <w:tr>
        <w:tc>
          <w:tcPr>
            <w:tcW w:type="dxa" w:w="2381"/>
            <w:vAlign w:val="center"/>
            <w:shd w:fill="F3F6F8"/>
          </w:tcPr>
          <w:p>
            <w:pPr>
              <w:spacing w:after="0"/>
            </w:pPr>
            <w:r/>
            <w:r>
              <w:rPr>
                <w:rFonts w:ascii="Aptos" w:hAnsi="Aptos"/>
                <w:b w:val="0"/>
                <w:sz w:val="17"/>
              </w:rPr>
              <w:t>Functional and integration</w:t>
            </w:r>
          </w:p>
        </w:tc>
        <w:tc>
          <w:tcPr>
            <w:tcW w:type="dxa" w:w="170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984"/>
            <w:vAlign w:val="center"/>
          </w:tcPr>
          <w:p>
            <w:pPr>
              <w:spacing w:after="0"/>
            </w:pPr>
            <w:r/>
            <w:r>
              <w:rPr>
                <w:rFonts w:ascii="Aptos" w:hAnsi="Aptos"/>
                <w:b w:val="0"/>
                <w:sz w:val="17"/>
              </w:rPr>
              <w:t>TBC</w:t>
            </w:r>
          </w:p>
        </w:tc>
        <w:tc>
          <w:tcPr>
            <w:tcW w:type="dxa" w:w="1304"/>
            <w:vAlign w:val="center"/>
          </w:tcPr>
          <w:p>
            <w:pPr>
              <w:spacing w:after="0"/>
            </w:pPr>
            <w:r/>
            <w:r>
              <w:rPr>
                <w:rFonts w:ascii="Aptos" w:hAnsi="Aptos"/>
                <w:b w:val="0"/>
                <w:sz w:val="17"/>
              </w:rPr>
              <w:t>☐ Pass ☐ Fail</w:t>
            </w:r>
          </w:p>
        </w:tc>
        <w:tc>
          <w:tcPr>
            <w:tcW w:type="dxa" w:w="1701"/>
            <w:vAlign w:val="center"/>
          </w:tcPr>
          <w:p>
            <w:pPr>
              <w:spacing w:after="0"/>
            </w:pPr>
            <w:r/>
            <w:r>
              <w:rPr>
                <w:rFonts w:ascii="Aptos" w:hAnsi="Aptos"/>
                <w:b w:val="0"/>
                <w:sz w:val="17"/>
              </w:rPr>
              <w:t>TBC</w:t>
            </w:r>
          </w:p>
        </w:tc>
      </w:tr>
      <w:tr>
        <w:tc>
          <w:tcPr>
            <w:tcW w:type="dxa" w:w="2381"/>
            <w:vAlign w:val="center"/>
            <w:shd w:fill="F3F6F8"/>
          </w:tcPr>
          <w:p>
            <w:pPr>
              <w:spacing w:after="0"/>
            </w:pPr>
            <w:r/>
            <w:r>
              <w:rPr>
                <w:rFonts w:ascii="Aptos" w:hAnsi="Aptos"/>
                <w:b w:val="0"/>
                <w:sz w:val="17"/>
              </w:rPr>
              <w:t>Accuracy and grounding</w:t>
            </w:r>
          </w:p>
        </w:tc>
        <w:tc>
          <w:tcPr>
            <w:tcW w:type="dxa" w:w="170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984"/>
            <w:vAlign w:val="center"/>
          </w:tcPr>
          <w:p>
            <w:pPr>
              <w:spacing w:after="0"/>
            </w:pPr>
            <w:r/>
            <w:r>
              <w:rPr>
                <w:rFonts w:ascii="Aptos" w:hAnsi="Aptos"/>
                <w:b w:val="0"/>
                <w:sz w:val="17"/>
              </w:rPr>
              <w:t>TBC</w:t>
            </w:r>
          </w:p>
        </w:tc>
        <w:tc>
          <w:tcPr>
            <w:tcW w:type="dxa" w:w="1304"/>
            <w:vAlign w:val="center"/>
          </w:tcPr>
          <w:p>
            <w:pPr>
              <w:spacing w:after="0"/>
            </w:pPr>
            <w:r/>
            <w:r>
              <w:rPr>
                <w:rFonts w:ascii="Aptos" w:hAnsi="Aptos"/>
                <w:b w:val="0"/>
                <w:sz w:val="17"/>
              </w:rPr>
              <w:t>☐ Pass ☐ Fail</w:t>
            </w:r>
          </w:p>
        </w:tc>
        <w:tc>
          <w:tcPr>
            <w:tcW w:type="dxa" w:w="1701"/>
            <w:vAlign w:val="center"/>
          </w:tcPr>
          <w:p>
            <w:pPr>
              <w:spacing w:after="0"/>
            </w:pPr>
            <w:r/>
            <w:r>
              <w:rPr>
                <w:rFonts w:ascii="Aptos" w:hAnsi="Aptos"/>
                <w:b w:val="0"/>
                <w:sz w:val="17"/>
              </w:rPr>
              <w:t>TBC</w:t>
            </w:r>
          </w:p>
        </w:tc>
      </w:tr>
      <w:tr>
        <w:tc>
          <w:tcPr>
            <w:tcW w:type="dxa" w:w="2381"/>
            <w:vAlign w:val="center"/>
            <w:shd w:fill="F3F6F8"/>
          </w:tcPr>
          <w:p>
            <w:pPr>
              <w:spacing w:after="0"/>
            </w:pPr>
            <w:r/>
            <w:r>
              <w:rPr>
                <w:rFonts w:ascii="Aptos" w:hAnsi="Aptos"/>
                <w:b w:val="0"/>
                <w:sz w:val="17"/>
              </w:rPr>
              <w:t>Robustness and resilience</w:t>
            </w:r>
          </w:p>
        </w:tc>
        <w:tc>
          <w:tcPr>
            <w:tcW w:type="dxa" w:w="170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984"/>
            <w:vAlign w:val="center"/>
          </w:tcPr>
          <w:p>
            <w:pPr>
              <w:spacing w:after="0"/>
            </w:pPr>
            <w:r/>
            <w:r>
              <w:rPr>
                <w:rFonts w:ascii="Aptos" w:hAnsi="Aptos"/>
                <w:b w:val="0"/>
                <w:sz w:val="17"/>
              </w:rPr>
              <w:t>TBC</w:t>
            </w:r>
          </w:p>
        </w:tc>
        <w:tc>
          <w:tcPr>
            <w:tcW w:type="dxa" w:w="1304"/>
            <w:vAlign w:val="center"/>
          </w:tcPr>
          <w:p>
            <w:pPr>
              <w:spacing w:after="0"/>
            </w:pPr>
            <w:r/>
            <w:r>
              <w:rPr>
                <w:rFonts w:ascii="Aptos" w:hAnsi="Aptos"/>
                <w:b w:val="0"/>
                <w:sz w:val="17"/>
              </w:rPr>
              <w:t>☐ Pass ☐ Fail</w:t>
            </w:r>
          </w:p>
        </w:tc>
        <w:tc>
          <w:tcPr>
            <w:tcW w:type="dxa" w:w="1701"/>
            <w:vAlign w:val="center"/>
          </w:tcPr>
          <w:p>
            <w:pPr>
              <w:spacing w:after="0"/>
            </w:pPr>
            <w:r/>
            <w:r>
              <w:rPr>
                <w:rFonts w:ascii="Aptos" w:hAnsi="Aptos"/>
                <w:b w:val="0"/>
                <w:sz w:val="17"/>
              </w:rPr>
              <w:t>TBC</w:t>
            </w:r>
          </w:p>
        </w:tc>
      </w:tr>
      <w:tr>
        <w:tc>
          <w:tcPr>
            <w:tcW w:type="dxa" w:w="2381"/>
            <w:vAlign w:val="center"/>
            <w:shd w:fill="F3F6F8"/>
          </w:tcPr>
          <w:p>
            <w:pPr>
              <w:spacing w:after="0"/>
            </w:pPr>
            <w:r/>
            <w:r>
              <w:rPr>
                <w:rFonts w:ascii="Aptos" w:hAnsi="Aptos"/>
                <w:b w:val="0"/>
                <w:sz w:val="17"/>
              </w:rPr>
              <w:t>Cybersecurity</w:t>
            </w:r>
          </w:p>
        </w:tc>
        <w:tc>
          <w:tcPr>
            <w:tcW w:type="dxa" w:w="170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984"/>
            <w:vAlign w:val="center"/>
          </w:tcPr>
          <w:p>
            <w:pPr>
              <w:spacing w:after="0"/>
            </w:pPr>
            <w:r/>
            <w:r>
              <w:rPr>
                <w:rFonts w:ascii="Aptos" w:hAnsi="Aptos"/>
                <w:b w:val="0"/>
                <w:sz w:val="17"/>
              </w:rPr>
              <w:t>TBC</w:t>
            </w:r>
          </w:p>
        </w:tc>
        <w:tc>
          <w:tcPr>
            <w:tcW w:type="dxa" w:w="1304"/>
            <w:vAlign w:val="center"/>
          </w:tcPr>
          <w:p>
            <w:pPr>
              <w:spacing w:after="0"/>
            </w:pPr>
            <w:r/>
            <w:r>
              <w:rPr>
                <w:rFonts w:ascii="Aptos" w:hAnsi="Aptos"/>
                <w:b w:val="0"/>
                <w:sz w:val="17"/>
              </w:rPr>
              <w:t>☐ Pass ☐ Fail</w:t>
            </w:r>
          </w:p>
        </w:tc>
        <w:tc>
          <w:tcPr>
            <w:tcW w:type="dxa" w:w="1701"/>
            <w:vAlign w:val="center"/>
          </w:tcPr>
          <w:p>
            <w:pPr>
              <w:spacing w:after="0"/>
            </w:pPr>
            <w:r/>
            <w:r>
              <w:rPr>
                <w:rFonts w:ascii="Aptos" w:hAnsi="Aptos"/>
                <w:b w:val="0"/>
                <w:sz w:val="17"/>
              </w:rPr>
              <w:t>TBC</w:t>
            </w:r>
          </w:p>
        </w:tc>
      </w:tr>
      <w:tr>
        <w:tc>
          <w:tcPr>
            <w:tcW w:type="dxa" w:w="2381"/>
            <w:vAlign w:val="center"/>
            <w:shd w:fill="F3F6F8"/>
          </w:tcPr>
          <w:p>
            <w:pPr>
              <w:spacing w:after="0"/>
            </w:pPr>
            <w:r/>
            <w:r>
              <w:rPr>
                <w:rFonts w:ascii="Aptos" w:hAnsi="Aptos"/>
                <w:b w:val="0"/>
                <w:sz w:val="17"/>
              </w:rPr>
              <w:t>Privacy/data protection</w:t>
            </w:r>
          </w:p>
        </w:tc>
        <w:tc>
          <w:tcPr>
            <w:tcW w:type="dxa" w:w="170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984"/>
            <w:vAlign w:val="center"/>
          </w:tcPr>
          <w:p>
            <w:pPr>
              <w:spacing w:after="0"/>
            </w:pPr>
            <w:r/>
            <w:r>
              <w:rPr>
                <w:rFonts w:ascii="Aptos" w:hAnsi="Aptos"/>
                <w:b w:val="0"/>
                <w:sz w:val="17"/>
              </w:rPr>
              <w:t>TBC</w:t>
            </w:r>
          </w:p>
        </w:tc>
        <w:tc>
          <w:tcPr>
            <w:tcW w:type="dxa" w:w="1304"/>
            <w:vAlign w:val="center"/>
          </w:tcPr>
          <w:p>
            <w:pPr>
              <w:spacing w:after="0"/>
            </w:pPr>
            <w:r/>
            <w:r>
              <w:rPr>
                <w:rFonts w:ascii="Aptos" w:hAnsi="Aptos"/>
                <w:b w:val="0"/>
                <w:sz w:val="17"/>
              </w:rPr>
              <w:t>☐ Pass ☐ Fail</w:t>
            </w:r>
          </w:p>
        </w:tc>
        <w:tc>
          <w:tcPr>
            <w:tcW w:type="dxa" w:w="1701"/>
            <w:vAlign w:val="center"/>
          </w:tcPr>
          <w:p>
            <w:pPr>
              <w:spacing w:after="0"/>
            </w:pPr>
            <w:r/>
            <w:r>
              <w:rPr>
                <w:rFonts w:ascii="Aptos" w:hAnsi="Aptos"/>
                <w:b w:val="0"/>
                <w:sz w:val="17"/>
              </w:rPr>
              <w:t>TBC</w:t>
            </w:r>
          </w:p>
        </w:tc>
      </w:tr>
      <w:tr>
        <w:tc>
          <w:tcPr>
            <w:tcW w:type="dxa" w:w="2381"/>
            <w:vAlign w:val="center"/>
            <w:shd w:fill="F3F6F8"/>
          </w:tcPr>
          <w:p>
            <w:pPr>
              <w:spacing w:after="0"/>
            </w:pPr>
            <w:r/>
            <w:r>
              <w:rPr>
                <w:rFonts w:ascii="Aptos" w:hAnsi="Aptos"/>
                <w:b w:val="0"/>
                <w:sz w:val="17"/>
              </w:rPr>
              <w:t>Fairness/fundamental rights</w:t>
            </w:r>
          </w:p>
        </w:tc>
        <w:tc>
          <w:tcPr>
            <w:tcW w:type="dxa" w:w="170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984"/>
            <w:vAlign w:val="center"/>
          </w:tcPr>
          <w:p>
            <w:pPr>
              <w:spacing w:after="0"/>
            </w:pPr>
            <w:r/>
            <w:r>
              <w:rPr>
                <w:rFonts w:ascii="Aptos" w:hAnsi="Aptos"/>
                <w:b w:val="0"/>
                <w:sz w:val="17"/>
              </w:rPr>
              <w:t>TBC</w:t>
            </w:r>
          </w:p>
        </w:tc>
        <w:tc>
          <w:tcPr>
            <w:tcW w:type="dxa" w:w="1304"/>
            <w:vAlign w:val="center"/>
          </w:tcPr>
          <w:p>
            <w:pPr>
              <w:spacing w:after="0"/>
            </w:pPr>
            <w:r/>
            <w:r>
              <w:rPr>
                <w:rFonts w:ascii="Aptos" w:hAnsi="Aptos"/>
                <w:b w:val="0"/>
                <w:sz w:val="17"/>
              </w:rPr>
              <w:t>☐ Pass ☐ Fail</w:t>
            </w:r>
          </w:p>
        </w:tc>
        <w:tc>
          <w:tcPr>
            <w:tcW w:type="dxa" w:w="1701"/>
            <w:vAlign w:val="center"/>
          </w:tcPr>
          <w:p>
            <w:pPr>
              <w:spacing w:after="0"/>
            </w:pPr>
            <w:r/>
            <w:r>
              <w:rPr>
                <w:rFonts w:ascii="Aptos" w:hAnsi="Aptos"/>
                <w:b w:val="0"/>
                <w:sz w:val="17"/>
              </w:rPr>
              <w:t>TBC</w:t>
            </w:r>
          </w:p>
        </w:tc>
      </w:tr>
      <w:tr>
        <w:tc>
          <w:tcPr>
            <w:tcW w:type="dxa" w:w="2381"/>
            <w:vAlign w:val="center"/>
            <w:shd w:fill="F3F6F8"/>
          </w:tcPr>
          <w:p>
            <w:pPr>
              <w:spacing w:after="0"/>
            </w:pPr>
            <w:r/>
            <w:r>
              <w:rPr>
                <w:rFonts w:ascii="Aptos" w:hAnsi="Aptos"/>
                <w:b w:val="0"/>
                <w:sz w:val="17"/>
              </w:rPr>
              <w:t>Human oversight/usability</w:t>
            </w:r>
          </w:p>
        </w:tc>
        <w:tc>
          <w:tcPr>
            <w:tcW w:type="dxa" w:w="1701"/>
            <w:vAlign w:val="center"/>
          </w:tcPr>
          <w:p>
            <w:pPr>
              <w:spacing w:after="0"/>
            </w:pPr>
            <w:r/>
            <w:r>
              <w:rPr>
                <w:rFonts w:ascii="Aptos" w:hAnsi="Aptos"/>
                <w:b w:val="0"/>
                <w:sz w:val="17"/>
              </w:rPr>
              <w:t>TBC</w:t>
            </w:r>
          </w:p>
        </w:tc>
        <w:tc>
          <w:tcPr>
            <w:tcW w:type="dxa" w:w="1587"/>
            <w:vAlign w:val="center"/>
          </w:tcPr>
          <w:p>
            <w:pPr>
              <w:spacing w:after="0"/>
            </w:pPr>
            <w:r/>
            <w:r>
              <w:rPr>
                <w:rFonts w:ascii="Aptos" w:hAnsi="Aptos"/>
                <w:b w:val="0"/>
                <w:sz w:val="17"/>
              </w:rPr>
              <w:t>TBC</w:t>
            </w:r>
          </w:p>
        </w:tc>
        <w:tc>
          <w:tcPr>
            <w:tcW w:type="dxa" w:w="1984"/>
            <w:vAlign w:val="center"/>
          </w:tcPr>
          <w:p>
            <w:pPr>
              <w:spacing w:after="0"/>
            </w:pPr>
            <w:r/>
            <w:r>
              <w:rPr>
                <w:rFonts w:ascii="Aptos" w:hAnsi="Aptos"/>
                <w:b w:val="0"/>
                <w:sz w:val="17"/>
              </w:rPr>
              <w:t>TBC</w:t>
            </w:r>
          </w:p>
        </w:tc>
        <w:tc>
          <w:tcPr>
            <w:tcW w:type="dxa" w:w="1304"/>
            <w:vAlign w:val="center"/>
          </w:tcPr>
          <w:p>
            <w:pPr>
              <w:spacing w:after="0"/>
            </w:pPr>
            <w:r/>
            <w:r>
              <w:rPr>
                <w:rFonts w:ascii="Aptos" w:hAnsi="Aptos"/>
                <w:b w:val="0"/>
                <w:sz w:val="17"/>
              </w:rPr>
              <w:t>☐ Pass ☐ Fail</w:t>
            </w:r>
          </w:p>
        </w:tc>
        <w:tc>
          <w:tcPr>
            <w:tcW w:type="dxa" w:w="1701"/>
            <w:vAlign w:val="center"/>
          </w:tcPr>
          <w:p>
            <w:pPr>
              <w:spacing w:after="0"/>
            </w:pPr>
            <w:r/>
            <w:r>
              <w:rPr>
                <w:rFonts w:ascii="Aptos" w:hAnsi="Aptos"/>
                <w:b w:val="0"/>
                <w:sz w:val="17"/>
              </w:rPr>
              <w:t>TBC</w:t>
            </w:r>
          </w:p>
        </w:tc>
      </w:tr>
    </w:tbl>
    <w:p>
      <w:pPr>
        <w:spacing w:after="0"/>
      </w:pPr>
    </w:p>
    <w:p>
      <w:pPr>
        <w:pStyle w:val="Heading1"/>
      </w:pPr>
      <w:r>
        <w:t>Appendix C — Draft operator quick guide</w:t>
      </w:r>
    </w:p>
    <w:p>
      <w:pPr>
        <w:pStyle w:val="Heading2"/>
      </w:pPr>
      <w:r>
        <w:t>Before generation</w:t>
      </w:r>
    </w:p>
    <w:p>
      <w:pPr>
        <w:pStyle w:val="ListBullet"/>
      </w:pPr>
      <w:r>
        <w:t>Confirm you are authorized for the deal and that the intended use is within approved scope.</w:t>
      </w:r>
    </w:p>
    <w:p>
      <w:pPr>
        <w:pStyle w:val="ListBullet"/>
      </w:pPr>
      <w:r>
        <w:t>Check borrower identity, reporting period, currency, ownership and source freshness.</w:t>
      </w:r>
    </w:p>
    <w:p>
      <w:pPr>
        <w:pStyle w:val="ListBullet"/>
      </w:pPr>
      <w:r>
        <w:t>Upload only authorized, necessary evidence; remove irrelevant personal or confidential information.</w:t>
      </w:r>
    </w:p>
    <w:p>
      <w:pPr>
        <w:pStyle w:val="ListBullet"/>
      </w:pPr>
      <w:r>
        <w:t>Select authoritative URLs and record unresolved gaps or conflicting data.</w:t>
      </w:r>
    </w:p>
    <w:p>
      <w:pPr>
        <w:pStyle w:val="Heading2"/>
      </w:pPr>
      <w:r>
        <w:t>During review</w:t>
      </w:r>
    </w:p>
    <w:p>
      <w:pPr>
        <w:pStyle w:val="ListBullet"/>
      </w:pPr>
      <w:r>
        <w:t>Read the full narrative; never rely on the confidence score alone.</w:t>
      </w:r>
    </w:p>
    <w:p>
      <w:pPr>
        <w:pStyle w:val="ListBullet"/>
      </w:pPr>
      <w:r>
        <w:t>Open citations for material financial, covenant, collateral, risk and recommendation statements.</w:t>
      </w:r>
    </w:p>
    <w:p>
      <w:pPr>
        <w:pStyle w:val="ListBullet"/>
      </w:pPr>
      <w:r>
        <w:t>Challenge inferred and unsupported claims; correct or remove content that cannot be substantiated.</w:t>
      </w:r>
    </w:p>
    <w:p>
      <w:pPr>
        <w:pStyle w:val="ListBullet"/>
      </w:pPr>
      <w:r>
        <w:t>Check arithmetic, units, dates, currencies, entity names and cross-section consistency.</w:t>
      </w:r>
    </w:p>
    <w:p>
      <w:pPr>
        <w:pStyle w:val="ListBullet"/>
      </w:pPr>
      <w:r>
        <w:t>Consider alternative explanations and whether any criterion may discriminate unlawfully.</w:t>
      </w:r>
    </w:p>
    <w:p>
      <w:pPr>
        <w:pStyle w:val="Heading2"/>
      </w:pPr>
      <w:r>
        <w:t>Before submission or approval</w:t>
      </w:r>
    </w:p>
    <w:p>
      <w:pPr>
        <w:pStyle w:val="ListBullet"/>
      </w:pPr>
      <w:r>
        <w:t>Resolve all critical data gaps and reviewer comments or document why residual uncertainty is acceptable.</w:t>
      </w:r>
    </w:p>
    <w:p>
      <w:pPr>
        <w:pStyle w:val="ListBullet"/>
      </w:pPr>
      <w:r>
        <w:t>Confirm the frozen submission contains the intended versions and does not expose unnecessary sensitive data.</w:t>
      </w:r>
    </w:p>
    <w:p>
      <w:pPr>
        <w:pStyle w:val="ListBullet"/>
      </w:pPr>
      <w:r>
        <w:t>Approve only within your delegated authority; preserve an audit trail of material changes and rationale.</w:t>
      </w:r>
    </w:p>
    <w:p>
      <w:pPr>
        <w:pStyle w:val="Heading2"/>
      </w:pPr>
      <w:r>
        <w:t>When to stop and escalate</w:t>
      </w:r>
    </w:p>
    <w:p>
      <w:pPr>
        <w:pStyle w:val="ListBullet"/>
      </w:pPr>
      <w:r>
        <w:t>Suspected data leakage, cross-deal content, prompt injection, security incident or unauthorized access.</w:t>
      </w:r>
    </w:p>
    <w:p>
      <w:pPr>
        <w:pStyle w:val="ListBullet"/>
      </w:pPr>
      <w:r>
        <w:t>A material unsupported statement, discriminatory pattern, unsafe recommendation or unexplained score shift.</w:t>
      </w:r>
    </w:p>
    <w:p>
      <w:pPr>
        <w:pStyle w:val="ListBullet"/>
      </w:pPr>
      <w:r>
        <w:t>External-service failure, stale source, missing audit trail or any condition preventing meaningful human review.</w:t>
      </w:r>
    </w:p>
    <w:p>
      <w:pPr>
        <w:pStyle w:val="Heading1"/>
      </w:pPr>
      <w:r>
        <w:t>Appendix D — Open actions to complete the technical file</w:t>
      </w:r>
    </w:p>
    <w:tbl>
      <w:tblPr>
        <w:tblStyle w:val="TableGrid"/>
        <w:tblW w:type="auto" w:w="0"/>
        <w:jc w:val="center"/>
        <w:tblLook w:firstColumn="1" w:firstRow="1" w:lastColumn="0" w:lastRow="0" w:noHBand="0" w:noVBand="1" w:val="04A0"/>
      </w:tblPr>
      <w:tblGrid>
        <w:gridCol w:w="2006"/>
        <w:gridCol w:w="2006"/>
        <w:gridCol w:w="2006"/>
        <w:gridCol w:w="2006"/>
        <w:gridCol w:w="2006"/>
      </w:tblGrid>
      <w:tr>
        <w:tc>
          <w:tcPr>
            <w:tcW w:type="dxa" w:w="794"/>
            <w:vAlign w:val="center"/>
            <w:shd w:fill="17365D"/>
          </w:tcPr>
          <w:p>
            <w:pPr>
              <w:spacing w:after="0"/>
            </w:pPr>
            <w:r/>
            <w:r>
              <w:rPr>
                <w:rFonts w:ascii="Aptos" w:hAnsi="Aptos"/>
                <w:b/>
                <w:color w:val="FFFFFF"/>
                <w:sz w:val="17"/>
              </w:rPr>
              <w:t>Priority</w:t>
            </w:r>
          </w:p>
        </w:tc>
        <w:tc>
          <w:tcPr>
            <w:tcW w:type="dxa" w:w="4649"/>
            <w:vAlign w:val="center"/>
            <w:shd w:fill="17365D"/>
          </w:tcPr>
          <w:p>
            <w:pPr>
              <w:spacing w:after="0"/>
            </w:pPr>
            <w:r/>
            <w:r>
              <w:rPr>
                <w:rFonts w:ascii="Aptos" w:hAnsi="Aptos"/>
                <w:b/>
                <w:color w:val="FFFFFF"/>
                <w:sz w:val="17"/>
              </w:rPr>
              <w:t>Action</w:t>
            </w:r>
          </w:p>
        </w:tc>
        <w:tc>
          <w:tcPr>
            <w:tcW w:type="dxa" w:w="2098"/>
            <w:vAlign w:val="center"/>
            <w:shd w:fill="17365D"/>
          </w:tcPr>
          <w:p>
            <w:pPr>
              <w:spacing w:after="0"/>
            </w:pPr>
            <w:r/>
            <w:r>
              <w:rPr>
                <w:rFonts w:ascii="Aptos" w:hAnsi="Aptos"/>
                <w:b/>
                <w:color w:val="FFFFFF"/>
                <w:sz w:val="17"/>
              </w:rPr>
              <w:t>Accountable owner</w:t>
            </w:r>
          </w:p>
        </w:tc>
        <w:tc>
          <w:tcPr>
            <w:tcW w:type="dxa" w:w="1247"/>
            <w:vAlign w:val="center"/>
            <w:shd w:fill="17365D"/>
          </w:tcPr>
          <w:p>
            <w:pPr>
              <w:spacing w:after="0"/>
            </w:pPr>
            <w:r/>
            <w:r>
              <w:rPr>
                <w:rFonts w:ascii="Aptos" w:hAnsi="Aptos"/>
                <w:b/>
                <w:color w:val="FFFFFF"/>
                <w:sz w:val="17"/>
              </w:rPr>
              <w:t>Due date</w:t>
            </w:r>
          </w:p>
        </w:tc>
        <w:tc>
          <w:tcPr>
            <w:tcW w:type="dxa" w:w="2268"/>
            <w:vAlign w:val="center"/>
            <w:shd w:fill="17365D"/>
          </w:tcPr>
          <w:p>
            <w:pPr>
              <w:spacing w:after="0"/>
            </w:pPr>
            <w:r/>
            <w:r>
              <w:rPr>
                <w:rFonts w:ascii="Aptos" w:hAnsi="Aptos"/>
                <w:b/>
                <w:color w:val="FFFFFF"/>
                <w:sz w:val="17"/>
              </w:rPr>
              <w:t>Closure evidence</w:t>
            </w:r>
          </w:p>
        </w:tc>
      </w:tr>
      <w:tr>
        <w:tc>
          <w:tcPr>
            <w:tcW w:type="dxa" w:w="794"/>
            <w:vAlign w:val="center"/>
            <w:shd w:fill="F3F6F8"/>
          </w:tcPr>
          <w:p>
            <w:pPr>
              <w:spacing w:after="0"/>
            </w:pPr>
            <w:r/>
            <w:r>
              <w:rPr>
                <w:rFonts w:ascii="Aptos" w:hAnsi="Aptos"/>
                <w:b w:val="0"/>
                <w:sz w:val="17"/>
              </w:rPr>
              <w:t>P0</w:t>
            </w:r>
          </w:p>
        </w:tc>
        <w:tc>
          <w:tcPr>
            <w:tcW w:type="dxa" w:w="4649"/>
            <w:vAlign w:val="center"/>
          </w:tcPr>
          <w:p>
            <w:pPr>
              <w:spacing w:after="0"/>
            </w:pPr>
            <w:r/>
            <w:r>
              <w:rPr>
                <w:rFonts w:ascii="Aptos" w:hAnsi="Aptos"/>
                <w:b w:val="0"/>
                <w:sz w:val="17"/>
              </w:rPr>
              <w:t>Approve intended purpose, prohibited uses, role mapping and EU AI Act classification.</w:t>
            </w:r>
          </w:p>
        </w:tc>
        <w:tc>
          <w:tcPr>
            <w:tcW w:type="dxa" w:w="2098"/>
            <w:vAlign w:val="center"/>
          </w:tcPr>
          <w:p>
            <w:pPr>
              <w:spacing w:after="0"/>
            </w:pPr>
            <w:r/>
            <w:r>
              <w:rPr>
                <w:rFonts w:ascii="Aptos" w:hAnsi="Aptos"/>
                <w:b w:val="0"/>
                <w:sz w:val="17"/>
              </w:rPr>
              <w:t>Legal/Compliance</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Signed classification memo</w:t>
            </w:r>
          </w:p>
        </w:tc>
      </w:tr>
      <w:tr>
        <w:tc>
          <w:tcPr>
            <w:tcW w:type="dxa" w:w="794"/>
            <w:vAlign w:val="center"/>
            <w:shd w:fill="F3F6F8"/>
          </w:tcPr>
          <w:p>
            <w:pPr>
              <w:spacing w:after="0"/>
            </w:pPr>
            <w:r/>
            <w:r>
              <w:rPr>
                <w:rFonts w:ascii="Aptos" w:hAnsi="Aptos"/>
                <w:b w:val="0"/>
                <w:sz w:val="17"/>
              </w:rPr>
              <w:t>P0</w:t>
            </w:r>
          </w:p>
        </w:tc>
        <w:tc>
          <w:tcPr>
            <w:tcW w:type="dxa" w:w="4649"/>
            <w:vAlign w:val="center"/>
          </w:tcPr>
          <w:p>
            <w:pPr>
              <w:spacing w:after="0"/>
            </w:pPr>
            <w:r/>
            <w:r>
              <w:rPr>
                <w:rFonts w:ascii="Aptos" w:hAnsi="Aptos"/>
                <w:b w:val="0"/>
                <w:sz w:val="17"/>
              </w:rPr>
              <w:t>Freeze and record deployed model, evaluator, prompt and configuration versions.</w:t>
            </w:r>
          </w:p>
        </w:tc>
        <w:tc>
          <w:tcPr>
            <w:tcW w:type="dxa" w:w="2098"/>
            <w:vAlign w:val="center"/>
          </w:tcPr>
          <w:p>
            <w:pPr>
              <w:spacing w:after="0"/>
            </w:pPr>
            <w:r/>
            <w:r>
              <w:rPr>
                <w:rFonts w:ascii="Aptos" w:hAnsi="Aptos"/>
                <w:b w:val="0"/>
                <w:sz w:val="17"/>
              </w:rPr>
              <w:t>Engineering/Model Risk</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Release manifest</w:t>
            </w:r>
          </w:p>
        </w:tc>
      </w:tr>
      <w:tr>
        <w:tc>
          <w:tcPr>
            <w:tcW w:type="dxa" w:w="794"/>
            <w:vAlign w:val="center"/>
            <w:shd w:fill="F3F6F8"/>
          </w:tcPr>
          <w:p>
            <w:pPr>
              <w:spacing w:after="0"/>
            </w:pPr>
            <w:r/>
            <w:r>
              <w:rPr>
                <w:rFonts w:ascii="Aptos" w:hAnsi="Aptos"/>
                <w:b w:val="0"/>
                <w:sz w:val="17"/>
              </w:rPr>
              <w:t>P0</w:t>
            </w:r>
          </w:p>
        </w:tc>
        <w:tc>
          <w:tcPr>
            <w:tcW w:type="dxa" w:w="4649"/>
            <w:vAlign w:val="center"/>
          </w:tcPr>
          <w:p>
            <w:pPr>
              <w:spacing w:after="0"/>
            </w:pPr>
            <w:r/>
            <w:r>
              <w:rPr>
                <w:rFonts w:ascii="Aptos" w:hAnsi="Aptos"/>
                <w:b w:val="0"/>
                <w:sz w:val="17"/>
              </w:rPr>
              <w:t>Execute representative accuracy, robustness, security, privacy and fairness validation.</w:t>
            </w:r>
          </w:p>
        </w:tc>
        <w:tc>
          <w:tcPr>
            <w:tcW w:type="dxa" w:w="2098"/>
            <w:vAlign w:val="center"/>
          </w:tcPr>
          <w:p>
            <w:pPr>
              <w:spacing w:after="0"/>
            </w:pPr>
            <w:r/>
            <w:r>
              <w:rPr>
                <w:rFonts w:ascii="Aptos" w:hAnsi="Aptos"/>
                <w:b w:val="0"/>
                <w:sz w:val="17"/>
              </w:rPr>
              <w:t>QA/Model Risk/Security</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Dated signed reports</w:t>
            </w:r>
          </w:p>
        </w:tc>
      </w:tr>
      <w:tr>
        <w:tc>
          <w:tcPr>
            <w:tcW w:type="dxa" w:w="794"/>
            <w:vAlign w:val="center"/>
            <w:shd w:fill="F3F6F8"/>
          </w:tcPr>
          <w:p>
            <w:pPr>
              <w:spacing w:after="0"/>
            </w:pPr>
            <w:r/>
            <w:r>
              <w:rPr>
                <w:rFonts w:ascii="Aptos" w:hAnsi="Aptos"/>
                <w:b w:val="0"/>
                <w:sz w:val="17"/>
              </w:rPr>
              <w:t>P0</w:t>
            </w:r>
          </w:p>
        </w:tc>
        <w:tc>
          <w:tcPr>
            <w:tcW w:type="dxa" w:w="4649"/>
            <w:vAlign w:val="center"/>
          </w:tcPr>
          <w:p>
            <w:pPr>
              <w:spacing w:after="0"/>
            </w:pPr>
            <w:r/>
            <w:r>
              <w:rPr>
                <w:rFonts w:ascii="Aptos" w:hAnsi="Aptos"/>
                <w:b w:val="0"/>
                <w:sz w:val="17"/>
              </w:rPr>
              <w:t>Close multi-worker source-binding, moderation-failure and SSRF production risks.</w:t>
            </w:r>
          </w:p>
        </w:tc>
        <w:tc>
          <w:tcPr>
            <w:tcW w:type="dxa" w:w="2098"/>
            <w:vAlign w:val="center"/>
          </w:tcPr>
          <w:p>
            <w:pPr>
              <w:spacing w:after="0"/>
            </w:pPr>
            <w:r/>
            <w:r>
              <w:rPr>
                <w:rFonts w:ascii="Aptos" w:hAnsi="Aptos"/>
                <w:b w:val="0"/>
                <w:sz w:val="17"/>
              </w:rPr>
              <w:t>Engineering/Security</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Design/test evidence</w:t>
            </w:r>
          </w:p>
        </w:tc>
      </w:tr>
      <w:tr>
        <w:tc>
          <w:tcPr>
            <w:tcW w:type="dxa" w:w="794"/>
            <w:vAlign w:val="center"/>
            <w:shd w:fill="F3F6F8"/>
          </w:tcPr>
          <w:p>
            <w:pPr>
              <w:spacing w:after="0"/>
            </w:pPr>
            <w:r/>
            <w:r>
              <w:rPr>
                <w:rFonts w:ascii="Aptos" w:hAnsi="Aptos"/>
                <w:b w:val="0"/>
                <w:sz w:val="17"/>
              </w:rPr>
              <w:t>P0</w:t>
            </w:r>
          </w:p>
        </w:tc>
        <w:tc>
          <w:tcPr>
            <w:tcW w:type="dxa" w:w="4649"/>
            <w:vAlign w:val="center"/>
          </w:tcPr>
          <w:p>
            <w:pPr>
              <w:spacing w:after="0"/>
            </w:pPr>
            <w:r/>
            <w:r>
              <w:rPr>
                <w:rFonts w:ascii="Aptos" w:hAnsi="Aptos"/>
                <w:b w:val="0"/>
                <w:sz w:val="17"/>
              </w:rPr>
              <w:t>Complete DPIA/FRIA applicability and supplier data-processing assessment.</w:t>
            </w:r>
          </w:p>
        </w:tc>
        <w:tc>
          <w:tcPr>
            <w:tcW w:type="dxa" w:w="2098"/>
            <w:vAlign w:val="center"/>
          </w:tcPr>
          <w:p>
            <w:pPr>
              <w:spacing w:after="0"/>
            </w:pPr>
            <w:r/>
            <w:r>
              <w:rPr>
                <w:rFonts w:ascii="Aptos" w:hAnsi="Aptos"/>
                <w:b w:val="0"/>
                <w:sz w:val="17"/>
              </w:rPr>
              <w:t>DPO/Legal</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Approved assessments</w:t>
            </w:r>
          </w:p>
        </w:tc>
      </w:tr>
      <w:tr>
        <w:tc>
          <w:tcPr>
            <w:tcW w:type="dxa" w:w="794"/>
            <w:vAlign w:val="center"/>
            <w:shd w:fill="F3F6F8"/>
          </w:tcPr>
          <w:p>
            <w:pPr>
              <w:spacing w:after="0"/>
            </w:pPr>
            <w:r/>
            <w:r>
              <w:rPr>
                <w:rFonts w:ascii="Aptos" w:hAnsi="Aptos"/>
                <w:b w:val="0"/>
                <w:sz w:val="17"/>
              </w:rPr>
              <w:t>P1</w:t>
            </w:r>
          </w:p>
        </w:tc>
        <w:tc>
          <w:tcPr>
            <w:tcW w:type="dxa" w:w="4649"/>
            <w:vAlign w:val="center"/>
          </w:tcPr>
          <w:p>
            <w:pPr>
              <w:spacing w:after="0"/>
            </w:pPr>
            <w:r/>
            <w:r>
              <w:rPr>
                <w:rFonts w:ascii="Aptos" w:hAnsi="Aptos"/>
                <w:b w:val="0"/>
                <w:sz w:val="17"/>
              </w:rPr>
              <w:t>Approve Instructions for Use, operator training and oversight competence criteria.</w:t>
            </w:r>
          </w:p>
        </w:tc>
        <w:tc>
          <w:tcPr>
            <w:tcW w:type="dxa" w:w="2098"/>
            <w:vAlign w:val="center"/>
          </w:tcPr>
          <w:p>
            <w:pPr>
              <w:spacing w:after="0"/>
            </w:pPr>
            <w:r/>
            <w:r>
              <w:rPr>
                <w:rFonts w:ascii="Aptos" w:hAnsi="Aptos"/>
                <w:b w:val="0"/>
                <w:sz w:val="17"/>
              </w:rPr>
              <w:t>Business/Compliance</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Controlled IFU/training records</w:t>
            </w:r>
          </w:p>
        </w:tc>
      </w:tr>
      <w:tr>
        <w:tc>
          <w:tcPr>
            <w:tcW w:type="dxa" w:w="794"/>
            <w:vAlign w:val="center"/>
            <w:shd w:fill="F3F6F8"/>
          </w:tcPr>
          <w:p>
            <w:pPr>
              <w:spacing w:after="0"/>
            </w:pPr>
            <w:r/>
            <w:r>
              <w:rPr>
                <w:rFonts w:ascii="Aptos" w:hAnsi="Aptos"/>
                <w:b w:val="0"/>
                <w:sz w:val="17"/>
              </w:rPr>
              <w:t>P1</w:t>
            </w:r>
          </w:p>
        </w:tc>
        <w:tc>
          <w:tcPr>
            <w:tcW w:type="dxa" w:w="4649"/>
            <w:vAlign w:val="center"/>
          </w:tcPr>
          <w:p>
            <w:pPr>
              <w:spacing w:after="0"/>
            </w:pPr>
            <w:r/>
            <w:r>
              <w:rPr>
                <w:rFonts w:ascii="Aptos" w:hAnsi="Aptos"/>
                <w:b w:val="0"/>
                <w:sz w:val="17"/>
              </w:rPr>
              <w:t>Operationalize monitoring indicators, thresholds, dashboards and incident workflow.</w:t>
            </w:r>
          </w:p>
        </w:tc>
        <w:tc>
          <w:tcPr>
            <w:tcW w:type="dxa" w:w="2098"/>
            <w:vAlign w:val="center"/>
          </w:tcPr>
          <w:p>
            <w:pPr>
              <w:spacing w:after="0"/>
            </w:pPr>
            <w:r/>
            <w:r>
              <w:rPr>
                <w:rFonts w:ascii="Aptos" w:hAnsi="Aptos"/>
                <w:b w:val="0"/>
                <w:sz w:val="17"/>
              </w:rPr>
              <w:t>SRE/Model Risk</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Monitoring runbook/drill</w:t>
            </w:r>
          </w:p>
        </w:tc>
      </w:tr>
      <w:tr>
        <w:tc>
          <w:tcPr>
            <w:tcW w:type="dxa" w:w="794"/>
            <w:vAlign w:val="center"/>
            <w:shd w:fill="F3F6F8"/>
          </w:tcPr>
          <w:p>
            <w:pPr>
              <w:spacing w:after="0"/>
            </w:pPr>
            <w:r/>
            <w:r>
              <w:rPr>
                <w:rFonts w:ascii="Aptos" w:hAnsi="Aptos"/>
                <w:b w:val="0"/>
                <w:sz w:val="17"/>
              </w:rPr>
              <w:t>P1</w:t>
            </w:r>
          </w:p>
        </w:tc>
        <w:tc>
          <w:tcPr>
            <w:tcW w:type="dxa" w:w="4649"/>
            <w:vAlign w:val="center"/>
          </w:tcPr>
          <w:p>
            <w:pPr>
              <w:spacing w:after="0"/>
            </w:pPr>
            <w:r/>
            <w:r>
              <w:rPr>
                <w:rFonts w:ascii="Aptos" w:hAnsi="Aptos"/>
                <w:b w:val="0"/>
                <w:sz w:val="17"/>
              </w:rPr>
              <w:t>Select applicable harmonised standards and document conformity route.</w:t>
            </w:r>
          </w:p>
        </w:tc>
        <w:tc>
          <w:tcPr>
            <w:tcW w:type="dxa" w:w="2098"/>
            <w:vAlign w:val="center"/>
          </w:tcPr>
          <w:p>
            <w:pPr>
              <w:spacing w:after="0"/>
            </w:pPr>
            <w:r/>
            <w:r>
              <w:rPr>
                <w:rFonts w:ascii="Aptos" w:hAnsi="Aptos"/>
                <w:b w:val="0"/>
                <w:sz w:val="17"/>
              </w:rPr>
              <w:t>Compliance/QMS</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Standards matrix/assessment plan</w:t>
            </w:r>
          </w:p>
        </w:tc>
      </w:tr>
      <w:tr>
        <w:tc>
          <w:tcPr>
            <w:tcW w:type="dxa" w:w="794"/>
            <w:vAlign w:val="center"/>
            <w:shd w:fill="F3F6F8"/>
          </w:tcPr>
          <w:p>
            <w:pPr>
              <w:spacing w:after="0"/>
            </w:pPr>
            <w:r/>
            <w:r>
              <w:rPr>
                <w:rFonts w:ascii="Aptos" w:hAnsi="Aptos"/>
                <w:b w:val="0"/>
                <w:sz w:val="17"/>
              </w:rPr>
              <w:t>P1</w:t>
            </w:r>
          </w:p>
        </w:tc>
        <w:tc>
          <w:tcPr>
            <w:tcW w:type="dxa" w:w="4649"/>
            <w:vAlign w:val="center"/>
          </w:tcPr>
          <w:p>
            <w:pPr>
              <w:spacing w:after="0"/>
            </w:pPr>
            <w:r/>
            <w:r>
              <w:rPr>
                <w:rFonts w:ascii="Aptos" w:hAnsi="Aptos"/>
                <w:b w:val="0"/>
                <w:sz w:val="17"/>
              </w:rPr>
              <w:t>Establish retention, deletion, log integrity, backup/restore and disaster recovery controls.</w:t>
            </w:r>
          </w:p>
        </w:tc>
        <w:tc>
          <w:tcPr>
            <w:tcW w:type="dxa" w:w="2098"/>
            <w:vAlign w:val="center"/>
          </w:tcPr>
          <w:p>
            <w:pPr>
              <w:spacing w:after="0"/>
            </w:pPr>
            <w:r/>
            <w:r>
              <w:rPr>
                <w:rFonts w:ascii="Aptos" w:hAnsi="Aptos"/>
                <w:b w:val="0"/>
                <w:sz w:val="17"/>
              </w:rPr>
              <w:t>DPO/Security/SRE</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Policies and test evidence</w:t>
            </w:r>
          </w:p>
        </w:tc>
      </w:tr>
      <w:tr>
        <w:tc>
          <w:tcPr>
            <w:tcW w:type="dxa" w:w="794"/>
            <w:vAlign w:val="center"/>
            <w:shd w:fill="F3F6F8"/>
          </w:tcPr>
          <w:p>
            <w:pPr>
              <w:spacing w:after="0"/>
            </w:pPr>
            <w:r/>
            <w:r>
              <w:rPr>
                <w:rFonts w:ascii="Aptos" w:hAnsi="Aptos"/>
                <w:b w:val="0"/>
                <w:sz w:val="17"/>
              </w:rPr>
              <w:t>P2</w:t>
            </w:r>
          </w:p>
        </w:tc>
        <w:tc>
          <w:tcPr>
            <w:tcW w:type="dxa" w:w="4649"/>
            <w:vAlign w:val="center"/>
          </w:tcPr>
          <w:p>
            <w:pPr>
              <w:spacing w:after="0"/>
            </w:pPr>
            <w:r/>
            <w:r>
              <w:rPr>
                <w:rFonts w:ascii="Aptos" w:hAnsi="Aptos"/>
                <w:b w:val="0"/>
                <w:sz w:val="17"/>
              </w:rPr>
              <w:t>Complete declaration/registration/CE steps if applicable and archive the final technical file.</w:t>
            </w:r>
          </w:p>
        </w:tc>
        <w:tc>
          <w:tcPr>
            <w:tcW w:type="dxa" w:w="2098"/>
            <w:vAlign w:val="center"/>
          </w:tcPr>
          <w:p>
            <w:pPr>
              <w:spacing w:after="0"/>
            </w:pPr>
            <w:r/>
            <w:r>
              <w:rPr>
                <w:rFonts w:ascii="Aptos" w:hAnsi="Aptos"/>
                <w:b w:val="0"/>
                <w:sz w:val="17"/>
              </w:rPr>
              <w:t>Authorized signatory</w:t>
            </w:r>
          </w:p>
        </w:tc>
        <w:tc>
          <w:tcPr>
            <w:tcW w:type="dxa" w:w="1247"/>
            <w:vAlign w:val="center"/>
          </w:tcPr>
          <w:p>
            <w:pPr>
              <w:spacing w:after="0"/>
            </w:pPr>
            <w:r/>
            <w:r>
              <w:rPr>
                <w:rFonts w:ascii="Aptos" w:hAnsi="Aptos"/>
                <w:b w:val="0"/>
                <w:sz w:val="17"/>
              </w:rPr>
              <w:t>TBC</w:t>
            </w:r>
          </w:p>
        </w:tc>
        <w:tc>
          <w:tcPr>
            <w:tcW w:type="dxa" w:w="2268"/>
            <w:vAlign w:val="center"/>
          </w:tcPr>
          <w:p>
            <w:pPr>
              <w:spacing w:after="0"/>
            </w:pPr>
            <w:r/>
            <w:r>
              <w:rPr>
                <w:rFonts w:ascii="Aptos" w:hAnsi="Aptos"/>
                <w:b w:val="0"/>
                <w:sz w:val="17"/>
              </w:rPr>
              <w:t>Approved conformity artifacts</w:t>
            </w:r>
          </w:p>
        </w:tc>
      </w:tr>
    </w:tbl>
    <w:p>
      <w:pPr>
        <w:spacing w:after="0"/>
      </w:pPr>
    </w:p>
    <w:p>
      <w:pPr>
        <w:pStyle w:val="Heading1"/>
      </w:pPr>
      <w:r>
        <w:t>References</w:t>
      </w:r>
    </w:p>
    <w:p>
      <w:pPr>
        <w:pStyle w:val="ListNumber"/>
      </w:pPr>
      <w:r>
        <w:t>Regulation (EU) 2024/1689 of the European Parliament and of the Council (Artificial Intelligence Act), especially Articles 9–15, 17, 43, 47, 49, 72–73 and Annex IV. Official text: https://eur-lex.europa.eu/eli/reg/2024/1689/oj</w:t>
      </w:r>
    </w:p>
    <w:p>
      <w:pPr>
        <w:pStyle w:val="ListNumber"/>
      </w:pPr>
      <w:r>
        <w:t>TCS Generative AI Guidelines, Version 1.0, pages 59–61 — user-provided extract; source copy and document-control metadata should be attached by the owner.</w:t>
      </w:r>
    </w:p>
    <w:p>
      <w:pPr>
        <w:pStyle w:val="ListNumber"/>
      </w:pPr>
      <w:r>
        <w:t>Credit Dossier repository evidence listed in Appendix A, baseline commit 83b8c2989f11a41605686ee31e32cbeb5eb6008c.</w:t>
      </w:r>
    </w:p>
    <w:tbl>
      <w:tblPr>
        <w:tblStyle w:val="TableGrid"/>
        <w:tblW w:type="auto" w:w="0"/>
        <w:tblLook w:firstColumn="1" w:firstRow="1" w:lastColumn="0" w:lastRow="0" w:noHBand="0" w:noVBand="1" w:val="04A0"/>
      </w:tblPr>
      <w:tblGrid>
        <w:gridCol w:w="10029"/>
      </w:tblGrid>
      <w:tr>
        <w:tc>
          <w:tcPr>
            <w:tcW w:type="dxa" w:w="10029"/>
            <w:shd w:fill="D9EAF7"/>
          </w:tcPr>
          <w:p>
            <w:r>
              <w:rPr>
                <w:b/>
              </w:rPr>
              <w:t xml:space="preserve">Maintenance instruction: </w:t>
            </w:r>
            <w:r>
              <w:t>Update this technical file whenever intended purpose, models, prompts, datasets, architecture, integrations, risk controls, performance thresholds, standards, deployment or monitoring changes. Archive superseded versions and preserve traceability to the released system.</w:t>
            </w:r>
          </w:p>
        </w:tc>
      </w:tr>
    </w:tbl>
    <w:p>
      <w:pPr>
        <w:spacing w:after="0"/>
      </w:pPr>
    </w:p>
    <w:sectPr w:rsidR="00FC693F" w:rsidRPr="0006063C" w:rsidSect="00034616">
      <w:headerReference w:type="default" r:id="rId9"/>
      <w:footerReference w:type="default" r:id="rId10"/>
      <w:pgSz w:w="12240" w:h="15840"/>
      <w:pgMar w:top="1020" w:right="1020"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TCS Internal  •  Version 1.0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5"/>
      </w:rPr>
      <w:t>CREDIT DOSSIER  |  EU AI ACT TECHNICAL DOCUMENTATION  |  TCS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E618BF"/>
    <w:rPr>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E618BF"/>
    <w:rPr>
      <w:lang w:val="en-GB"/>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lang w:val="en-GB"/>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rPr>
  </w:style>
  <w:style w:type="character" w:default="1" w:styleId="DefaultParagraphFont">
    <w:name w:val="Default Paragraph Font"/>
    <w:uiPriority w:val="1"/>
    <w:semiHidden/>
    <w:unhideWhenUsed/>
    <w:rPr>
      <w:lang w:val="en-GB"/>
    </w:rPr>
  </w:style>
  <w:style w:type="table" w:default="1" w:styleId="TableNormal">
    <w:name w:val="Normal Table"/>
    <w:uiPriority w:val="99"/>
    <w:semiHidden/>
    <w:unhideWhenUsed/>
    <w:rPr>
      <w:lang w:val="en-GB"/>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GB"/>
    </w:rPr>
  </w:style>
  <w:style w:type="paragraph" w:styleId="NoSpacing">
    <w:name w:val="No Spacing"/>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7F8C8D"/>
      <w:spacing w:val="15"/>
      <w:sz w:val="2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rPr>
      <w:lang w:val="en-GB"/>
    </w:rPr>
  </w:style>
  <w:style w:type="paragraph" w:styleId="BodyText">
    <w:name w:val="Body Text"/>
    <w:basedOn w:val="Normal"/>
    <w:link w:val="BodyTextChar"/>
    <w:uiPriority w:val="99"/>
    <w:unhideWhenUsed/>
    <w:rsid w:val="00AA1D8D"/>
    <w:pPr>
      <w:spacing w:after="120"/>
    </w:pPr>
    <w:rPr>
      <w:lang w:val="en-GB"/>
    </w:rPr>
  </w:style>
  <w:style w:type="character" w:customStyle="1" w:styleId="BodyTextChar">
    <w:name w:val="Body Text Char"/>
    <w:basedOn w:val="DefaultParagraphFont"/>
    <w:link w:val="BodyText"/>
    <w:uiPriority w:val="99"/>
    <w:rsid w:val="00AA1D8D"/>
    <w:rPr>
      <w:lang w:val="en-GB"/>
    </w:rPr>
  </w:style>
  <w:style w:type="paragraph" w:styleId="BodyText2">
    <w:name w:val="Body Text 2"/>
    <w:basedOn w:val="Normal"/>
    <w:link w:val="BodyText2Char"/>
    <w:uiPriority w:val="99"/>
    <w:unhideWhenUsed/>
    <w:rsid w:val="00AA1D8D"/>
    <w:pPr>
      <w:spacing w:after="120" w:line="480" w:lineRule="auto"/>
    </w:pPr>
    <w:rPr>
      <w:lang w:val="en-GB"/>
    </w:rPr>
  </w:style>
  <w:style w:type="character" w:customStyle="1" w:styleId="BodyText2Char">
    <w:name w:val="Body Text 2 Char"/>
    <w:basedOn w:val="DefaultParagraphFont"/>
    <w:link w:val="BodyText2"/>
    <w:uiPriority w:val="99"/>
    <w:rsid w:val="00AA1D8D"/>
    <w:rPr>
      <w:lang w:val="en-GB"/>
    </w:rPr>
  </w:style>
  <w:style w:type="paragraph" w:styleId="BodyText3">
    <w:name w:val="Body Text 3"/>
    <w:basedOn w:val="Normal"/>
    <w:link w:val="BodyText3Char"/>
    <w:uiPriority w:val="99"/>
    <w:unhideWhenUsed/>
    <w:rsid w:val="00AA1D8D"/>
    <w:pPr>
      <w:spacing w:after="120"/>
    </w:pPr>
    <w:rPr>
      <w:sz w:val="16"/>
      <w:szCs w:val="16"/>
      <w:lang w:val="en-GB"/>
    </w:rPr>
  </w:style>
  <w:style w:type="character" w:customStyle="1" w:styleId="BodyText3Char">
    <w:name w:val="Body Text 3 Char"/>
    <w:basedOn w:val="DefaultParagraphFont"/>
    <w:link w:val="BodyText3"/>
    <w:uiPriority w:val="99"/>
    <w:rsid w:val="00AA1D8D"/>
    <w:rPr>
      <w:sz w:val="16"/>
      <w:szCs w:val="16"/>
      <w:lang w:val="en-GB"/>
    </w:rPr>
  </w:style>
  <w:style w:type="paragraph" w:styleId="List">
    <w:name w:val="List"/>
    <w:basedOn w:val="Normal"/>
    <w:uiPriority w:val="99"/>
    <w:unhideWhenUsed/>
    <w:rsid w:val="00AA1D8D"/>
    <w:pPr>
      <w:ind w:left="360" w:hanging="360"/>
      <w:contextualSpacing/>
    </w:pPr>
    <w:rPr>
      <w:lang w:val="en-GB"/>
    </w:rPr>
  </w:style>
  <w:style w:type="paragraph" w:styleId="List2">
    <w:name w:val="List 2"/>
    <w:basedOn w:val="Normal"/>
    <w:uiPriority w:val="99"/>
    <w:unhideWhenUsed/>
    <w:rsid w:val="00326F90"/>
    <w:pPr>
      <w:ind w:left="720" w:hanging="360"/>
      <w:contextualSpacing/>
    </w:pPr>
    <w:rPr>
      <w:lang w:val="en-GB"/>
    </w:rPr>
  </w:style>
  <w:style w:type="paragraph" w:styleId="List3">
    <w:name w:val="List 3"/>
    <w:basedOn w:val="Normal"/>
    <w:uiPriority w:val="99"/>
    <w:unhideWhenUsed/>
    <w:rsid w:val="00326F90"/>
    <w:pPr>
      <w:ind w:left="1080" w:hanging="360"/>
      <w:contextualSpacing/>
    </w:pPr>
    <w:rPr>
      <w:lang w:val="en-GB"/>
    </w:rPr>
  </w:style>
  <w:style w:type="paragraph" w:styleId="ListBullet">
    <w:name w:val="List Bullet"/>
    <w:basedOn w:val="Normal"/>
    <w:uiPriority w:val="99"/>
    <w:unhideWhenUsed/>
    <w:rsid w:val="00326F90"/>
    <w:pPr>
      <w:numPr>
        <w:numId w:val="1"/>
      </w:numPr>
      <w:contextualSpacing/>
    </w:pPr>
    <w:rPr>
      <w:lang w:val="en-GB"/>
    </w:rPr>
  </w:style>
  <w:style w:type="paragraph" w:styleId="ListBullet2">
    <w:name w:val="List Bullet 2"/>
    <w:basedOn w:val="Normal"/>
    <w:uiPriority w:val="99"/>
    <w:unhideWhenUsed/>
    <w:rsid w:val="00326F90"/>
    <w:pPr>
      <w:numPr>
        <w:numId w:val="2"/>
      </w:numPr>
      <w:contextualSpacing/>
    </w:pPr>
    <w:rPr>
      <w:lang w:val="en-GB"/>
    </w:rPr>
  </w:style>
  <w:style w:type="paragraph" w:styleId="ListBullet3">
    <w:name w:val="List Bullet 3"/>
    <w:basedOn w:val="Normal"/>
    <w:uiPriority w:val="99"/>
    <w:unhideWhenUsed/>
    <w:rsid w:val="00326F90"/>
    <w:pPr>
      <w:numPr>
        <w:numId w:val="3"/>
      </w:numPr>
      <w:contextualSpacing/>
    </w:pPr>
    <w:rPr>
      <w:lang w:val="en-GB"/>
    </w:rPr>
  </w:style>
  <w:style w:type="paragraph" w:styleId="ListNumber">
    <w:name w:val="List Number"/>
    <w:basedOn w:val="Normal"/>
    <w:uiPriority w:val="99"/>
    <w:unhideWhenUsed/>
    <w:rsid w:val="00326F90"/>
    <w:pPr>
      <w:numPr>
        <w:numId w:val="5"/>
      </w:numPr>
      <w:contextualSpacing/>
    </w:pPr>
    <w:rPr>
      <w:lang w:val="en-GB"/>
    </w:rPr>
  </w:style>
  <w:style w:type="paragraph" w:styleId="ListNumber2">
    <w:name w:val="List Number 2"/>
    <w:basedOn w:val="Normal"/>
    <w:uiPriority w:val="99"/>
    <w:unhideWhenUsed/>
    <w:rsid w:val="0029639D"/>
    <w:pPr>
      <w:numPr>
        <w:numId w:val="6"/>
      </w:numPr>
      <w:contextualSpacing/>
    </w:pPr>
    <w:rPr>
      <w:lang w:val="en-GB"/>
    </w:rPr>
  </w:style>
  <w:style w:type="paragraph" w:styleId="ListNumber3">
    <w:name w:val="List Number 3"/>
    <w:basedOn w:val="Normal"/>
    <w:uiPriority w:val="99"/>
    <w:unhideWhenUsed/>
    <w:rsid w:val="0029639D"/>
    <w:pPr>
      <w:numPr>
        <w:numId w:val="7"/>
      </w:numPr>
      <w:contextualSpacing/>
    </w:pPr>
    <w:rPr>
      <w:lang w:val="en-GB"/>
    </w:rPr>
  </w:style>
  <w:style w:type="paragraph" w:styleId="ListContinue">
    <w:name w:val="List Continue"/>
    <w:basedOn w:val="Normal"/>
    <w:uiPriority w:val="99"/>
    <w:unhideWhenUsed/>
    <w:rsid w:val="0029639D"/>
    <w:pPr>
      <w:spacing w:after="120"/>
      <w:ind w:left="360"/>
      <w:contextualSpacing/>
    </w:pPr>
    <w:rPr>
      <w:lang w:val="en-GB"/>
    </w:rPr>
  </w:style>
  <w:style w:type="paragraph" w:styleId="ListContinue2">
    <w:name w:val="List Continue 2"/>
    <w:basedOn w:val="Normal"/>
    <w:uiPriority w:val="99"/>
    <w:unhideWhenUsed/>
    <w:rsid w:val="0029639D"/>
    <w:pPr>
      <w:spacing w:after="120"/>
      <w:ind w:left="720"/>
      <w:contextualSpacing/>
    </w:pPr>
    <w:rPr>
      <w:lang w:val="en-GB"/>
    </w:rPr>
  </w:style>
  <w:style w:type="paragraph" w:styleId="ListContinue3">
    <w:name w:val="List Continue 3"/>
    <w:basedOn w:val="Normal"/>
    <w:uiPriority w:val="99"/>
    <w:unhideWhenUsed/>
    <w:rsid w:val="0029639D"/>
    <w:pPr>
      <w:spacing w:after="120"/>
      <w:ind w:left="1080"/>
      <w:contextualSpacing/>
    </w:pPr>
    <w:rPr>
      <w:lang w:val="en-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lang w:val="en-GB"/>
    </w:rPr>
  </w:style>
  <w:style w:type="character" w:customStyle="1" w:styleId="QuoteChar">
    <w:name w:val="Quote Char"/>
    <w:basedOn w:val="DefaultParagraphFont"/>
    <w:link w:val="Quote"/>
    <w:uiPriority w:val="29"/>
    <w:rsid w:val="00FC693F"/>
    <w:rPr>
      <w:i/>
      <w:iCs/>
      <w:color w:val="000000" w:themeColor="text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rPr>
  </w:style>
  <w:style w:type="character" w:styleId="Strong">
    <w:name w:val="Strong"/>
    <w:basedOn w:val="DefaultParagraphFont"/>
    <w:uiPriority w:val="22"/>
    <w:qFormat/>
    <w:rsid w:val="00FC693F"/>
    <w:rPr>
      <w:b/>
      <w:bCs/>
      <w:lang w:val="en-GB"/>
    </w:rPr>
  </w:style>
  <w:style w:type="character" w:styleId="Emphasis">
    <w:name w:val="Emphasis"/>
    <w:basedOn w:val="DefaultParagraphFont"/>
    <w:uiPriority w:val="20"/>
    <w:qFormat/>
    <w:rsid w:val="00FC693F"/>
    <w:rPr>
      <w:i/>
      <w:iCs/>
      <w:lang w:val="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rPr>
  </w:style>
  <w:style w:type="character" w:customStyle="1" w:styleId="IntenseQuoteChar">
    <w:name w:val="Intense Quote Char"/>
    <w:basedOn w:val="DefaultParagraphFont"/>
    <w:link w:val="IntenseQuote"/>
    <w:uiPriority w:val="30"/>
    <w:rsid w:val="00FC693F"/>
    <w:rPr>
      <w:b/>
      <w:bCs/>
      <w:i/>
      <w:iCs/>
      <w:color w:val="4F81BD" w:themeColor="accent1"/>
      <w:lang w:val="en-GB"/>
    </w:rPr>
  </w:style>
  <w:style w:type="character" w:styleId="SubtleEmphasis">
    <w:name w:val="Subtle Emphasis"/>
    <w:basedOn w:val="DefaultParagraphFont"/>
    <w:uiPriority w:val="19"/>
    <w:qFormat/>
    <w:rsid w:val="00FC693F"/>
    <w:rPr>
      <w:i/>
      <w:iCs/>
      <w:color w:val="808080" w:themeColor="text1" w:themeTint="7F"/>
      <w:lang w:val="en-GB"/>
    </w:rPr>
  </w:style>
  <w:style w:type="character" w:styleId="IntenseEmphasis">
    <w:name w:val="Intense Emphasis"/>
    <w:basedOn w:val="DefaultParagraphFont"/>
    <w:uiPriority w:val="21"/>
    <w:qFormat/>
    <w:rsid w:val="00FC693F"/>
    <w:rPr>
      <w:b/>
      <w:bCs/>
      <w:i/>
      <w:iCs/>
      <w:color w:val="4F81BD" w:themeColor="accent1"/>
      <w:lang w:val="en-GB"/>
    </w:rPr>
  </w:style>
  <w:style w:type="character" w:styleId="SubtleReference">
    <w:name w:val="Subtle Reference"/>
    <w:basedOn w:val="DefaultParagraphFont"/>
    <w:uiPriority w:val="31"/>
    <w:qFormat/>
    <w:rsid w:val="00FC693F"/>
    <w:rPr>
      <w:smallCaps/>
      <w:color w:val="C0504D" w:themeColor="accent2"/>
      <w:u w:val="single"/>
      <w:lang w:val="en-GB"/>
    </w:rPr>
  </w:style>
  <w:style w:type="character" w:styleId="IntenseReference">
    <w:name w:val="Intense Reference"/>
    <w:basedOn w:val="DefaultParagraphFont"/>
    <w:uiPriority w:val="32"/>
    <w:qFormat/>
    <w:rsid w:val="00FC693F"/>
    <w:rPr>
      <w:b/>
      <w:bCs/>
      <w:smallCaps/>
      <w:color w:val="C0504D" w:themeColor="accent2"/>
      <w:spacing w:val="5"/>
      <w:u w:val="single"/>
      <w:lang w:val="en-GB"/>
    </w:rPr>
  </w:style>
  <w:style w:type="character" w:styleId="BookTitle">
    <w:name w:val="Book Title"/>
    <w:basedOn w:val="DefaultParagraphFont"/>
    <w:uiPriority w:val="33"/>
    <w:qFormat/>
    <w:rsid w:val="00FC693F"/>
    <w:rPr>
      <w:b/>
      <w:bCs/>
      <w:smallCaps/>
      <w:spacing w:val="5"/>
      <w:lang w:val="en-GB"/>
    </w:rPr>
  </w:style>
  <w:style w:type="paragraph" w:styleId="TOCHeading">
    <w:name w:val="TOC Heading"/>
    <w:basedOn w:val="Heading1"/>
    <w:next w:val="Normal"/>
    <w:uiPriority w:val="39"/>
    <w:semiHidden/>
    <w:unhideWhenUsed/>
    <w:qFormat/>
    <w:rsid w:val="00FC693F"/>
    <w:pPr>
      <w:outlineLvl w:val="9"/>
    </w:pPr>
    <w:rPr>
      <w:lang w:val="en-GB"/>
    </w:rPr>
  </w:style>
  <w:style w:type="table" w:styleId="TableGrid">
    <w:name w:val="Table Grid"/>
    <w:basedOn w:val="TableNormal"/>
    <w:uiPriority w:val="59"/>
    <w:rsid w:val="00FC693F"/>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Dossier — EU AI Act Technical Documentation</dc:title>
  <dc:subject>Article 11 and Annex IV technical documentation</dc:subject>
  <dc:creator>Tata Consultancy Services Limited — owner confirmation required</dc:creator>
  <cp:keywords>EU AI Act, Annex IV, technical documentation, Credit Dossier, generative AI</cp:keywords>
  <dc:description>Generated from repository evidence; unresolved items are explicitly marked TBC.</dc:description>
  <cp:lastModifiedBy/>
  <cp:revision>1</cp:revision>
  <dcterms:created xsi:type="dcterms:W3CDTF">2013-12-23T23:15:00Z</dcterms:created>
  <dcterms:modified xsi:type="dcterms:W3CDTF">2013-12-23T23:15:00Z</dcterms:modified>
  <cp:category/>
</cp:coreProperties>
</file>