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Policy 71: Delinquency Management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POL-CR-071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Synthetic training document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Accountable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Head of Collections Risk / Credit Operations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Review cycle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Suggested annual plus material-change review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Retail, SME and commercial credit accounts with missed, partial, late or otherwise contractually overdue payments.</w:t>
            </w:r>
          </w:p>
        </w:tc>
      </w:tr>
    </w:tbl>
    <w:p/>
    <w:p>
      <w:pPr>
        <w:pStyle w:val="Heading2"/>
        <w:keepNext/>
      </w:pPr>
      <w:r>
        <w:t>1. Purpose</w:t>
      </w:r>
    </w:p>
    <w:p>
      <w:pPr>
        <w:spacing w:after="100" w:line="259" w:lineRule="auto"/>
      </w:pPr>
      <w:r>
        <w:t>Define early delinquency identification, aging, segmentation, contact, cure, escalation and reporting controls.</w:t>
      </w:r>
    </w:p>
    <w:p>
      <w:pPr>
        <w:pStyle w:val="Heading2"/>
        <w:keepNext/>
      </w:pPr>
      <w:r>
        <w:t>2. Objectives</w:t>
      </w:r>
    </w:p>
    <w:p>
      <w:pPr>
        <w:pStyle w:val="ListBullet"/>
        <w:spacing w:after="40"/>
      </w:pPr>
      <w:r>
        <w:t>Create consistent, explainable and auditable decisions.</w:t>
      </w:r>
    </w:p>
    <w:p>
      <w:pPr>
        <w:pStyle w:val="ListBullet"/>
        <w:spacing w:after="40"/>
      </w:pPr>
      <w:r>
        <w:t>Use governed data, definitions and approval authorities.</w:t>
      </w:r>
    </w:p>
    <w:p>
      <w:pPr>
        <w:pStyle w:val="ListBullet"/>
        <w:spacing w:after="40"/>
      </w:pPr>
      <w:r>
        <w:t>Identify missing, stale and conflicting evidence rather than guessing.</w:t>
      </w:r>
    </w:p>
    <w:p>
      <w:pPr>
        <w:pStyle w:val="ListBullet"/>
        <w:spacing w:after="40"/>
      </w:pPr>
      <w:r>
        <w:t>Support human accountability and portfolio-level oversight.</w:t>
      </w:r>
    </w:p>
    <w:p>
      <w:pPr>
        <w:pStyle w:val="Heading2"/>
        <w:keepNext/>
      </w:pPr>
      <w:r>
        <w:t>3. Scope and Applicability</w:t>
      </w:r>
    </w:p>
    <w:p>
      <w:pPr>
        <w:spacing w:after="100" w:line="259" w:lineRule="auto"/>
      </w:pPr>
      <w:r>
        <w:t>Retail, SME and commercial credit accounts with missed, partial, late or otherwise contractually overdue payments.</w:t>
      </w:r>
    </w:p>
    <w:p>
      <w:pPr>
        <w:spacing w:after="100" w:line="259" w:lineRule="auto"/>
      </w:pPr>
      <w:r>
        <w:t>The production bank shall configure applicability by legal entity, customer, product, geography, materiality and jurisdiction. Stricter approved requirements prevail.</w:t>
      </w:r>
    </w:p>
    <w:p>
      <w:pPr>
        <w:pStyle w:val="Heading2"/>
        <w:keepNext/>
      </w:pPr>
      <w:r>
        <w:t>4.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Synthetic definition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Delinquency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 to make a contractual payment when due.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Days past due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Calendar or contractual measure of elapsed time since an unpaid amount became due.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Cure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Return to the policy-defined performing status after required payments and conditions.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Roll rate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Movement of accounts between delinquency stages.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Promise to pay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Customer commitment to make a stated payment by a stated date.</w:t>
            </w:r>
          </w:p>
        </w:tc>
      </w:tr>
    </w:tbl>
    <w:p/>
    <w:p>
      <w:pPr>
        <w:pStyle w:val="Heading2"/>
        <w:keepNext/>
      </w:pPr>
      <w:r>
        <w:t>5. Governance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Owns interpretation, change and control effectiveness. Indicative owner: Head of Collections Risk / Credit Operations.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First line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Executes controls, validates evidence and owns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Challenges assumptions, exceptions and material decisions.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/ Compliance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Advises on applicable legal, conduct and regulatory requirements.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Data / Technology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lineage, access, calculation and workflow controls.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Internal Audit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Provides independent assurance.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GenAI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grounding, testing, human review and audit logs.</w:t>
            </w:r>
          </w:p>
        </w:tc>
      </w:tr>
    </w:tbl>
    <w:p/>
    <w:p>
      <w:pPr>
        <w:pStyle w:val="Heading2"/>
        <w:keepNext/>
      </w:pPr>
      <w:r>
        <w:t>6. Detailed Policy Requirements</w:t>
      </w:r>
    </w:p>
    <w:p>
      <w:pPr>
        <w:keepNext/>
      </w:pPr>
      <w:r>
        <w:rPr>
          <w:b/>
          <w:color w:val="17365D"/>
        </w:rPr>
        <w:t>POL-CR-071.01 Detection</w:t>
      </w:r>
    </w:p>
    <w:p>
      <w:pPr>
        <w:spacing w:after="100" w:line="259" w:lineRule="auto"/>
      </w:pPr>
      <w:r>
        <w:t>Past-due status shall derive from governed contractual schedules, payment allocation and approved calendars.</w:t>
      </w:r>
    </w:p>
    <w:p>
      <w:pPr>
        <w:keepNext/>
      </w:pPr>
      <w:r>
        <w:rPr>
          <w:b/>
          <w:color w:val="17365D"/>
        </w:rPr>
        <w:t>POL-CR-071.02 Aging</w:t>
      </w:r>
    </w:p>
    <w:p>
      <w:pPr>
        <w:spacing w:after="100" w:line="259" w:lineRule="auto"/>
      </w:pPr>
      <w:r>
        <w:t>Days past due, missed installments and delinquent amount shall be calculated consistently.</w:t>
      </w:r>
    </w:p>
    <w:p>
      <w:pPr>
        <w:keepNext/>
      </w:pPr>
      <w:r>
        <w:rPr>
          <w:b/>
          <w:color w:val="17365D"/>
        </w:rPr>
        <w:t>POL-CR-071.03 Reconciliation</w:t>
      </w:r>
    </w:p>
    <w:p>
      <w:pPr>
        <w:spacing w:after="100" w:line="259" w:lineRule="auto"/>
      </w:pPr>
      <w:r>
        <w:t>Payment, suspense, reversal and allocation issues shall be resolved before customer treatment.</w:t>
      </w:r>
    </w:p>
    <w:p>
      <w:pPr>
        <w:keepNext/>
      </w:pPr>
      <w:r>
        <w:rPr>
          <w:b/>
          <w:color w:val="17365D"/>
        </w:rPr>
        <w:t>POL-CR-071.04 Segmentation</w:t>
      </w:r>
    </w:p>
    <w:p>
      <w:pPr>
        <w:spacing w:after="100" w:line="259" w:lineRule="auto"/>
      </w:pPr>
      <w:r>
        <w:t>Accounts shall be segmented by severity, exposure, product, risk, vulnerability and prior behavior.</w:t>
      </w:r>
    </w:p>
    <w:p>
      <w:pPr>
        <w:keepNext/>
      </w:pPr>
      <w:r>
        <w:rPr>
          <w:b/>
          <w:color w:val="17365D"/>
        </w:rPr>
        <w:t>POL-CR-071.05 Contact strategy</w:t>
      </w:r>
    </w:p>
    <w:p>
      <w:pPr>
        <w:spacing w:after="100" w:line="259" w:lineRule="auto"/>
      </w:pPr>
      <w:r>
        <w:t>Timing, channel, frequency and content shall follow conduct and jurisdictional requirements.</w:t>
      </w:r>
    </w:p>
    <w:p>
      <w:pPr>
        <w:keepNext/>
      </w:pPr>
      <w:r>
        <w:rPr>
          <w:b/>
          <w:color w:val="17365D"/>
        </w:rPr>
        <w:t>POL-CR-071.06 Customer circumstances</w:t>
      </w:r>
    </w:p>
    <w:p>
      <w:pPr>
        <w:spacing w:after="100" w:line="259" w:lineRule="auto"/>
      </w:pPr>
      <w:r>
        <w:t>Temporary hardship, dispute, fraud and operational errors shall be distinguished from unwillingness to pay.</w:t>
      </w:r>
    </w:p>
    <w:p>
      <w:pPr>
        <w:keepNext/>
      </w:pPr>
      <w:r>
        <w:rPr>
          <w:b/>
          <w:color w:val="17365D"/>
        </w:rPr>
        <w:t>POL-CR-071.07 Promise tracking</w:t>
      </w:r>
    </w:p>
    <w:p>
      <w:pPr>
        <w:spacing w:after="100" w:line="259" w:lineRule="auto"/>
      </w:pPr>
      <w:r>
        <w:t>Promises shall record amount, date, channel, owner and outcome.</w:t>
      </w:r>
    </w:p>
    <w:p>
      <w:pPr>
        <w:keepNext/>
      </w:pPr>
      <w:r>
        <w:rPr>
          <w:b/>
          <w:color w:val="17365D"/>
        </w:rPr>
        <w:t>POL-CR-071.08 Cure rules</w:t>
      </w:r>
    </w:p>
    <w:p>
      <w:pPr>
        <w:spacing w:after="100" w:line="259" w:lineRule="auto"/>
      </w:pPr>
      <w:r>
        <w:t>Cure shall use approved payment and observation requirements and shall not be inferred from one isolated payment.</w:t>
      </w:r>
    </w:p>
    <w:p>
      <w:pPr>
        <w:keepNext/>
      </w:pPr>
      <w:r>
        <w:rPr>
          <w:b/>
          <w:color w:val="17365D"/>
        </w:rPr>
        <w:t>POL-CR-071.09 Escalation</w:t>
      </w:r>
    </w:p>
    <w:p>
      <w:pPr>
        <w:spacing w:after="100" w:line="259" w:lineRule="auto"/>
      </w:pPr>
      <w:r>
        <w:t>Worsening delinquency, broken promises, high exposure or risk signals shall trigger enhanced action.</w:t>
      </w:r>
    </w:p>
    <w:p>
      <w:pPr>
        <w:keepNext/>
      </w:pPr>
      <w:r>
        <w:rPr>
          <w:b/>
          <w:color w:val="17365D"/>
        </w:rPr>
        <w:t>POL-CR-071.10 Links to classification</w:t>
      </w:r>
    </w:p>
    <w:p>
      <w:pPr>
        <w:spacing w:after="100" w:line="259" w:lineRule="auto"/>
      </w:pPr>
      <w:r>
        <w:t>Delinquency shall feed rating, stage, default, watchlist and NPL assessment as applicable.</w:t>
      </w:r>
    </w:p>
    <w:p>
      <w:pPr>
        <w:keepNext/>
      </w:pPr>
      <w:r>
        <w:rPr>
          <w:b/>
          <w:color w:val="17365D"/>
        </w:rPr>
        <w:t>POL-CR-071.11 Fees and interest</w:t>
      </w:r>
    </w:p>
    <w:p>
      <w:pPr>
        <w:spacing w:after="100" w:line="259" w:lineRule="auto"/>
      </w:pPr>
      <w:r>
        <w:t>Charges, suspension and capitalization shall follow approved legal and product rules.</w:t>
      </w:r>
    </w:p>
    <w:p>
      <w:pPr>
        <w:keepNext/>
      </w:pPr>
      <w:r>
        <w:rPr>
          <w:b/>
          <w:color w:val="17365D"/>
        </w:rPr>
        <w:t>POL-CR-071.12 Reporting</w:t>
      </w:r>
    </w:p>
    <w:p>
      <w:pPr>
        <w:spacing w:after="100" w:line="259" w:lineRule="auto"/>
      </w:pPr>
      <w:r>
        <w:t>MI shall cover balances, accounts, roll rates, cures, broken promises and data exceptions.</w:t>
      </w:r>
    </w:p>
    <w:p>
      <w:pPr>
        <w:keepNext/>
      </w:pPr>
      <w:r>
        <w:rPr>
          <w:b/>
          <w:color w:val="17365D"/>
        </w:rPr>
        <w:t>POL-CR-071.13 AI boundary</w:t>
      </w:r>
    </w:p>
    <w:p>
      <w:pPr>
        <w:spacing w:after="100" w:line="259" w:lineRule="auto"/>
      </w:pPr>
      <w:r>
        <w:t>The agent may prioritize cases and draft compliant communications but shall not threaten, misrepresent or autonomously classify default.</w:t>
      </w:r>
    </w:p>
    <w:p>
      <w:pPr>
        <w:pStyle w:val="Heading2"/>
        <w:keepNext/>
      </w:pPr>
      <w:r>
        <w:t>7. Minimum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 ID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DLM-01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Past-due calculation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Reconcile schedule, payments and aging.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Daily/configured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Credit Operations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Aging report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DLM-02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Segmentation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Assign approved treatment path.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Daily/event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Collections Strategy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Segment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DLM-03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Contact 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Apply channel, timing and conduct rules.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contact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Collections Operations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Contact log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DLM-04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Promise monitoring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Track commitments and outcomes.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Continuous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Collections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Promise register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DLM-05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Cure validation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Confirm approved cure conditions.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cure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Operations QA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Cure 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DLM-06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Portfolio reporting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Report delinquency migration and exposure.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Periodic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Collections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Delinquency pack</w:t>
            </w:r>
          </w:p>
        </w:tc>
      </w:tr>
    </w:tbl>
    <w:p/>
    <w:p>
      <w:pPr>
        <w:pStyle w:val="Heading2"/>
        <w:keepNext/>
      </w:pPr>
      <w:r>
        <w:t>8. Exception and Escalation Standard</w:t>
      </w:r>
    </w:p>
    <w:p>
      <w:pPr>
        <w:pStyle w:val="ListBullet"/>
        <w:spacing w:after="40"/>
      </w:pPr>
      <w:r>
        <w:t>Cite the exact policy, version, section and clause.</w:t>
      </w:r>
    </w:p>
    <w:p>
      <w:pPr>
        <w:pStyle w:val="ListBullet"/>
        <w:spacing w:after="40"/>
      </w:pPr>
      <w:r>
        <w:t>Record required rule, verified fact, source and variance.</w:t>
      </w:r>
    </w:p>
    <w:p>
      <w:pPr>
        <w:pStyle w:val="ListBullet"/>
        <w:spacing w:after="40"/>
      </w:pPr>
      <w:r>
        <w:t>Assess relevant exposure, rating, ECL, RWA, appetite, concentration, legal and conduct impacts.</w:t>
      </w:r>
    </w:p>
    <w:p>
      <w:pPr>
        <w:pStyle w:val="ListBullet"/>
        <w:spacing w:after="40"/>
      </w:pPr>
      <w:r>
        <w:t>Document rationale, mitigants, residual risk, authority, owner, conditions, expiry and closure evidence.</w:t>
      </w:r>
    </w:p>
    <w:p>
      <w:pPr>
        <w:pStyle w:val="ListBullet"/>
        <w:spacing w:after="40"/>
      </w:pPr>
      <w:r>
        <w:t>Treat missing thresholds, schedules, legal opinions or approvals as UNRESOLVED.</w:t>
      </w:r>
    </w:p>
    <w:p>
      <w:pPr>
        <w:pStyle w:val="ListBullet"/>
        <w:spacing w:after="40"/>
      </w:pPr>
      <w:r>
        <w:t>Escalate attempts to split transactions, manipulate calculations or hide a breach.</w:t>
      </w:r>
    </w:p>
    <w:p>
      <w:pPr>
        <w:pStyle w:val="Heading2"/>
        <w:keepNext/>
      </w:pPr>
      <w:r>
        <w:t>9. Monitoring and Management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Population by controlled compliance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Exposure, rating, ECL, RWA, limits and concentration where applicable.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Clause, severity, owner, authority, age, due date and repeat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Missing, stale, conflicting and manually adjusted inputs.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Failures, incidents, QA results and overdue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Citation accuracy, applicability, abstention, errors and human overrides.</w:t>
            </w:r>
          </w:p>
        </w:tc>
      </w:tr>
    </w:tbl>
    <w:p/>
    <w:p>
      <w:pPr>
        <w:pStyle w:val="Heading2"/>
        <w:keepNext/>
      </w:pPr>
      <w:r>
        <w:t>10. Recordkeeping and Audit Trail</w:t>
      </w:r>
    </w:p>
    <w:p>
      <w:pPr>
        <w:spacing w:after="100" w:line="259" w:lineRule="auto"/>
      </w:pPr>
      <w:r>
        <w:t>Retain policy version, clauses, inputs, source locations, calculations, transformations, system and user actions, timestamps, model version, human review, final decision, authority, exceptions and changes under approved access and retention controls.</w:t>
      </w:r>
    </w:p>
    <w:p>
      <w:pPr>
        <w:pStyle w:val="Heading2"/>
        <w:keepNext/>
      </w:pPr>
      <w:r>
        <w:t>11. GenAI Training and Evaluation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Applicability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Explain scope and trigger evidence.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Cite current policy and exact clause.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Separate verified fact, assertion, estimate, absent data and contradiction.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Calculation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Expose formula, values, units, period and source.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Draft but never approve or invent authority.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Adversarial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Reject concealment, threshold invention and approval bypass.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Human oversight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required review and accountable role.</w:t>
            </w:r>
          </w:p>
        </w:tc>
      </w:tr>
    </w:tbl>
    <w:p/>
    <w:p>
      <w:pPr>
        <w:pStyle w:val="Heading2"/>
        <w:keepNext/>
      </w:pPr>
      <w:r>
        <w:t>12. Synthetic Training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Observed facts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policy-agent response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Payment in suspense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Customer paid but amount is unallocated.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Resolve operational break before collection escalation.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Broken promise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Committed payment is not received.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Apply configured escalation and reassess circumstances.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Partial payment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Customer pays less than due.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Calculate residual delinquency and treatment accurately.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Single late payment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Account pays after a short delay.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Use approved cure and observation rules; do not over-classify.</w:t>
            </w:r>
          </w:p>
        </w:tc>
      </w:tr>
    </w:tbl>
    <w:p/>
    <w:p>
      <w:pPr>
        <w:pStyle w:val="Heading2"/>
        <w:keepNext/>
      </w:pPr>
      <w:r>
        <w:t>13. Suggested Training Prompts</w:t>
      </w:r>
    </w:p>
    <w:p>
      <w:pPr>
        <w:pStyle w:val="ListBullet"/>
        <w:spacing w:after="40"/>
      </w:pPr>
      <w:r>
        <w:t>Determine whether Delinquency Management Policy applies and cite the clause.</w:t>
      </w:r>
    </w:p>
    <w:p>
      <w:pPr>
        <w:pStyle w:val="ListBullet"/>
        <w:spacing w:after="40"/>
      </w:pPr>
      <w:r>
        <w:t>Create an evidence checklist for POL-CR-071.</w:t>
      </w:r>
    </w:p>
    <w:p>
      <w:pPr>
        <w:pStyle w:val="ListBullet"/>
        <w:spacing w:after="40"/>
      </w:pPr>
      <w:r>
        <w:t>Identify compliant, non-compliant, conditional and unresolved findings.</w:t>
      </w:r>
    </w:p>
    <w:p>
      <w:pPr>
        <w:pStyle w:val="ListBullet"/>
        <w:spacing w:after="40"/>
      </w:pPr>
      <w:r>
        <w:t>Show calculations and source lineage for each material metric.</w:t>
      </w:r>
    </w:p>
    <w:p>
      <w:pPr>
        <w:pStyle w:val="ListBullet"/>
        <w:spacing w:after="40"/>
      </w:pPr>
      <w:r>
        <w:t>Draft an exception record without approving it.</w:t>
      </w:r>
    </w:p>
    <w:p>
      <w:pPr>
        <w:pStyle w:val="ListBullet"/>
        <w:spacing w:after="40"/>
      </w:pPr>
      <w:r>
        <w:t>Explain which conclusions require human review.</w:t>
      </w:r>
    </w:p>
    <w:p>
      <w:pPr>
        <w:pStyle w:val="Heading2"/>
        <w:keepNext/>
      </w:pPr>
      <w:r>
        <w:t>14. Approval, Review and Change Control</w:t>
      </w:r>
    </w:p>
    <w:p>
      <w:pPr>
        <w:spacing w:after="100" w:line="259" w:lineRule="auto"/>
      </w:pPr>
      <w:r>
        <w:t>Before production use, replace synthetic roles, formulas, criteria, thresholds, legal references and frequencies with approved values. Changes require impact assessment, approval, versioning, testing, communication and retrieval-index update. Superseded versions remain auditable but shall not be retrieved as current.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00000"/>
        <w:sz w:val="16"/>
      </w:rPr>
      <w:t xml:space="preserve">Synthetic training document | Not approved bank policy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SYNTHETIC TRAINING DATA | CREDIT RISK POLICY HANDBOOK VIII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71: Delinquency Management Policy</dc:title>
  <dc:subject>Synthetic Credit Risk Policy - standalone training document</dc:subject>
  <dc:creator>Ganesh Perumal</dc:creator>
  <keywords/>
  <dc:description>Extracted from Credit Risk Policy Handbook Policies 71 to 80.</dc:description>
  <lastModifiedBy>Ganesh Perumal</lastModifiedBy>
  <revision>1</revision>
  <dcterms:created xsi:type="dcterms:W3CDTF">2026-09-10T08:42:07.0635989Z</dcterms:created>
  <dcterms:modified xsi:type="dcterms:W3CDTF">2026-09-10T08:42:07.0635989Z</dcterms:modified>
  <category/>
</coreProperties>
</file>