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72: Collections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POL-CR-072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Collections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Delinquent and defaulted accounts managed through internal or authorized external collection channels.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Set fair, effective and controlled collection strategies, customer contact, payment arrangements, escalation and oversight.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Delinquent and defaulted accounts managed through internal or authorized external collection channels.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Actions to obtain payment or resolution of overdue obligations.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Treatment strategy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Approved sequence of contacts, offers and escalation based on segment.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Arrangement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Agreed payment plan that does not necessarily modify contractual terms.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Vulnerable customer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Customer requiring additional care under approved conduct standards.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Third-party collector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External agency authorized to perform collection activity.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Collections.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POL-CR-072.01 Fair treatment</w:t>
      </w:r>
    </w:p>
    <w:p>
      <w:pPr>
        <w:spacing w:after="100" w:line="259" w:lineRule="auto"/>
      </w:pPr>
      <w:r>
        <w:t>Collections shall be lawful, proportionate, accurate and respectful.</w:t>
      </w:r>
    </w:p>
    <w:p>
      <w:pPr>
        <w:keepNext/>
      </w:pPr>
      <w:r>
        <w:rPr>
          <w:b/>
          <w:color w:val="17365D"/>
        </w:rPr>
        <w:t>POL-CR-072.02 Strategy</w:t>
      </w:r>
    </w:p>
    <w:p>
      <w:pPr>
        <w:spacing w:after="100" w:line="259" w:lineRule="auto"/>
      </w:pPr>
      <w:r>
        <w:t>Treatment paths shall be approved by product, aging, risk, exposure and customer circumstances.</w:t>
      </w:r>
    </w:p>
    <w:p>
      <w:pPr>
        <w:keepNext/>
      </w:pPr>
      <w:r>
        <w:rPr>
          <w:b/>
          <w:color w:val="17365D"/>
        </w:rPr>
        <w:t>POL-CR-072.03 Authentication</w:t>
      </w:r>
    </w:p>
    <w:p>
      <w:pPr>
        <w:spacing w:after="100" w:line="259" w:lineRule="auto"/>
      </w:pPr>
      <w:r>
        <w:t>Customer identity shall be verified before disclosure or account discussion.</w:t>
      </w:r>
    </w:p>
    <w:p>
      <w:pPr>
        <w:keepNext/>
      </w:pPr>
      <w:r>
        <w:rPr>
          <w:b/>
          <w:color w:val="17365D"/>
        </w:rPr>
        <w:t>POL-CR-072.04 Contact</w:t>
      </w:r>
    </w:p>
    <w:p>
      <w:pPr>
        <w:spacing w:after="100" w:line="259" w:lineRule="auto"/>
      </w:pPr>
      <w:r>
        <w:t>Channel, timing, frequency, language and content shall follow approved standards.</w:t>
      </w:r>
    </w:p>
    <w:p>
      <w:pPr>
        <w:keepNext/>
      </w:pPr>
      <w:r>
        <w:rPr>
          <w:b/>
          <w:color w:val="17365D"/>
        </w:rPr>
        <w:t>POL-CR-072.05 Information accuracy</w:t>
      </w:r>
    </w:p>
    <w:p>
      <w:pPr>
        <w:spacing w:after="100" w:line="259" w:lineRule="auto"/>
      </w:pPr>
      <w:r>
        <w:t>Amounts, status, consequences and options shall be accurate and supportable.</w:t>
      </w:r>
    </w:p>
    <w:p>
      <w:pPr>
        <w:keepNext/>
      </w:pPr>
      <w:r>
        <w:rPr>
          <w:b/>
          <w:color w:val="17365D"/>
        </w:rPr>
        <w:t>POL-CR-072.06 Vulnerability</w:t>
      </w:r>
    </w:p>
    <w:p>
      <w:pPr>
        <w:spacing w:after="100" w:line="259" w:lineRule="auto"/>
      </w:pPr>
      <w:r>
        <w:t>Indicators of vulnerability or hardship shall trigger appropriate support and specialist routing.</w:t>
      </w:r>
    </w:p>
    <w:p>
      <w:pPr>
        <w:keepNext/>
      </w:pPr>
      <w:r>
        <w:rPr>
          <w:b/>
          <w:color w:val="17365D"/>
        </w:rPr>
        <w:t>POL-CR-072.07 Disputes</w:t>
      </w:r>
    </w:p>
    <w:p>
      <w:pPr>
        <w:spacing w:after="100" w:line="259" w:lineRule="auto"/>
      </w:pPr>
      <w:r>
        <w:t>Billing, fraud, service and payment disputes shall be investigated before inappropriate escalation.</w:t>
      </w:r>
    </w:p>
    <w:p>
      <w:pPr>
        <w:keepNext/>
      </w:pPr>
      <w:r>
        <w:rPr>
          <w:b/>
          <w:color w:val="17365D"/>
        </w:rPr>
        <w:t>POL-CR-072.08 Arrangements</w:t>
      </w:r>
    </w:p>
    <w:p>
      <w:pPr>
        <w:spacing w:after="100" w:line="259" w:lineRule="auto"/>
      </w:pPr>
      <w:r>
        <w:t>Payment arrangements require affordability, terms, authority, monitoring and breach handling.</w:t>
      </w:r>
    </w:p>
    <w:p>
      <w:pPr>
        <w:keepNext/>
      </w:pPr>
      <w:r>
        <w:rPr>
          <w:b/>
          <w:color w:val="17365D"/>
        </w:rPr>
        <w:t>POL-CR-072.09 Escalation</w:t>
      </w:r>
    </w:p>
    <w:p>
      <w:pPr>
        <w:spacing w:after="100" w:line="259" w:lineRule="auto"/>
      </w:pPr>
      <w:r>
        <w:t>Legal, repossession, recovery, restructuring or special-assets referral shall follow approved criteria.</w:t>
      </w:r>
    </w:p>
    <w:p>
      <w:pPr>
        <w:keepNext/>
      </w:pPr>
      <w:r>
        <w:rPr>
          <w:b/>
          <w:color w:val="17365D"/>
        </w:rPr>
        <w:t>POL-CR-072.10 Third parties</w:t>
      </w:r>
    </w:p>
    <w:p>
      <w:pPr>
        <w:spacing w:after="100" w:line="259" w:lineRule="auto"/>
      </w:pPr>
      <w:r>
        <w:t>Agencies shall undergo due diligence, contracting, training, monitoring and complaint oversight.</w:t>
      </w:r>
    </w:p>
    <w:p>
      <w:pPr>
        <w:keepNext/>
      </w:pPr>
      <w:r>
        <w:rPr>
          <w:b/>
          <w:color w:val="17365D"/>
        </w:rPr>
        <w:t>POL-CR-072.11 Complaints</w:t>
      </w:r>
    </w:p>
    <w:p>
      <w:pPr>
        <w:spacing w:after="100" w:line="259" w:lineRule="auto"/>
      </w:pPr>
      <w:r>
        <w:t>Complaints and conduct incidents shall be recorded, investigated and remediated.</w:t>
      </w:r>
    </w:p>
    <w:p>
      <w:pPr>
        <w:keepNext/>
      </w:pPr>
      <w:r>
        <w:rPr>
          <w:b/>
          <w:color w:val="17365D"/>
        </w:rPr>
        <w:t>POL-CR-072.12 Data and recording</w:t>
      </w:r>
    </w:p>
    <w:p>
      <w:pPr>
        <w:spacing w:after="100" w:line="259" w:lineRule="auto"/>
      </w:pPr>
      <w:r>
        <w:t>Contacts, commitments, notices, decisions and evidence shall be retained.</w:t>
      </w:r>
    </w:p>
    <w:p>
      <w:pPr>
        <w:keepNext/>
      </w:pPr>
      <w:r>
        <w:rPr>
          <w:b/>
          <w:color w:val="17365D"/>
        </w:rPr>
        <w:t>POL-CR-072.13 AI boundary</w:t>
      </w:r>
    </w:p>
    <w:p>
      <w:pPr>
        <w:spacing w:after="100" w:line="259" w:lineRule="auto"/>
      </w:pPr>
      <w:r>
        <w:t>The agent may recommend policy-permitted next actions but shall not harass, deceive, make unauthorized offers or infer vulnerability.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Treatment assignment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Assign approved strategy and next action.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Daily/event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 Strategy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Treatment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Contact QA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Review authentication, accuracy and conduct.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Risk-based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Collections QA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QA results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Arrangement approval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affordability, authority and terms.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arrangement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 / Credit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Arrangement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Agency oversight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Monitor third-party activity and complaints.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Vendor / Collections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Agency scorecard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Escalation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Verify criteria before legal or recovery route.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referral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Referral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Complaint remediation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Track root cause and corrective action.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complaint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Conduct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Complaint case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dispute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challenges the overdue balance.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Pause inappropriate escalation and investigate evidence.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Repeated contact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Multiple channels contact the same customer excessively.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Apply contact-suppression and conduct controls.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Payment offer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Agent proposes an unauthorized discount.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Reject and route to approved settlement authority.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Vulnerability cue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Customer discloses serious circumstances.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Route to trained support without inferring additional health details.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Collections Policy applies and cite the clause.</w:t>
      </w:r>
    </w:p>
    <w:p>
      <w:pPr>
        <w:pStyle w:val="ListBullet"/>
        <w:spacing w:after="40"/>
      </w:pPr>
      <w:r>
        <w:t>Create an evidence checklist for POL-CR-072.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72: Collections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2026-09-10T08:42:09.8372094Z</dcterms:created>
  <dcterms:modified xsi:type="dcterms:W3CDTF">2026-09-10T08:42:09.8372094Z</dcterms:modified>
  <category/>
</coreProperties>
</file>