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74: Restructuring &amp; Modification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POL-CR-074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Special Credit / Chief Credit Officer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facilities considered for contractual modification, concession, rescheduling, refinancing or distressed restructuring.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Govern viability assessment, structure, valuation, classification, approval, documentation and monitoring of modifications.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Credit facilities considered for contractual modification, concession, rescheduling, refinancing or distressed restructuring.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Modification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Change to contractual terms of a financial asset or facility.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Restructuring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Broader change intended to address risk, viability or repayment difficulty.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Distressed restructuring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Modification involving financial difficulty and concession under approved criteria.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Economic loss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Reduction in economic value from changed cash flows or concessions.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Viability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Ability to meet revised obligations under supportable assumptions.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Special Credit / Chief Credit Officer.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POL-CR-074.01 Trigger and purpose</w:t>
      </w:r>
    </w:p>
    <w:p>
      <w:pPr>
        <w:spacing w:after="100" w:line="259" w:lineRule="auto"/>
      </w:pPr>
      <w:r>
        <w:t>The case shall state why modification is requested and whether distress is present.</w:t>
      </w:r>
    </w:p>
    <w:p>
      <w:pPr>
        <w:keepNext/>
      </w:pPr>
      <w:r>
        <w:rPr>
          <w:b/>
          <w:color w:val="17365D"/>
        </w:rPr>
        <w:t>POL-CR-074.02 Viability</w:t>
      </w:r>
    </w:p>
    <w:p>
      <w:pPr>
        <w:spacing w:after="100" w:line="259" w:lineRule="auto"/>
      </w:pPr>
      <w:r>
        <w:t>Sustainable business, cash flow, liquidity and repayment under revised terms shall be assessed.</w:t>
      </w:r>
    </w:p>
    <w:p>
      <w:pPr>
        <w:keepNext/>
      </w:pPr>
      <w:r>
        <w:rPr>
          <w:b/>
          <w:color w:val="17365D"/>
        </w:rPr>
        <w:t>POL-CR-074.03 Alternatives</w:t>
      </w:r>
    </w:p>
    <w:p>
      <w:pPr>
        <w:spacing w:after="100" w:line="259" w:lineRule="auto"/>
      </w:pPr>
      <w:r>
        <w:t>Restructuring shall be compared with enforcement, recovery, sale, additional support and status quo.</w:t>
      </w:r>
    </w:p>
    <w:p>
      <w:pPr>
        <w:keepNext/>
      </w:pPr>
      <w:r>
        <w:rPr>
          <w:b/>
          <w:color w:val="17365D"/>
        </w:rPr>
        <w:t>POL-CR-074.04 Terms</w:t>
      </w:r>
    </w:p>
    <w:p>
      <w:pPr>
        <w:spacing w:after="100" w:line="259" w:lineRule="auto"/>
      </w:pPr>
      <w:r>
        <w:t>Amount, tenor, rate, amortization, moratorium, capitalization and covenants shall be explicit.</w:t>
      </w:r>
    </w:p>
    <w:p>
      <w:pPr>
        <w:keepNext/>
      </w:pPr>
      <w:r>
        <w:rPr>
          <w:b/>
          <w:color w:val="17365D"/>
        </w:rPr>
        <w:t>POL-CR-074.05 Concessions</w:t>
      </w:r>
    </w:p>
    <w:p>
      <w:pPr>
        <w:spacing w:after="100" w:line="259" w:lineRule="auto"/>
      </w:pPr>
      <w:r>
        <w:t>Rate reductions, principal relief, fee waivers and extensions shall be measured and authorized.</w:t>
      </w:r>
    </w:p>
    <w:p>
      <w:pPr>
        <w:keepNext/>
      </w:pPr>
      <w:r>
        <w:rPr>
          <w:b/>
          <w:color w:val="17365D"/>
        </w:rPr>
        <w:t>POL-CR-074.06 Collateral and support</w:t>
      </w:r>
    </w:p>
    <w:p>
      <w:pPr>
        <w:spacing w:after="100" w:line="259" w:lineRule="auto"/>
      </w:pPr>
      <w:r>
        <w:t>Current value, perfection, guarantees and additional security shall be assessed.</w:t>
      </w:r>
    </w:p>
    <w:p>
      <w:pPr>
        <w:keepNext/>
      </w:pPr>
      <w:r>
        <w:rPr>
          <w:b/>
          <w:color w:val="17365D"/>
        </w:rPr>
        <w:t>POL-CR-074.07 Classification</w:t>
      </w:r>
    </w:p>
    <w:p>
      <w:pPr>
        <w:spacing w:after="100" w:line="259" w:lineRule="auto"/>
      </w:pPr>
      <w:r>
        <w:t>Forbearance, default, NPL, stage, modification and derecognition implications shall follow approved framework.</w:t>
      </w:r>
    </w:p>
    <w:p>
      <w:pPr>
        <w:keepNext/>
      </w:pPr>
      <w:r>
        <w:rPr>
          <w:b/>
          <w:color w:val="17365D"/>
        </w:rPr>
        <w:t>POL-CR-074.08 Expected loss</w:t>
      </w:r>
    </w:p>
    <w:p>
      <w:pPr>
        <w:spacing w:after="100" w:line="259" w:lineRule="auto"/>
      </w:pPr>
      <w:r>
        <w:t>Revised cash flows, scenarios, recoveries and economic loss shall be reflected as applicable.</w:t>
      </w:r>
    </w:p>
    <w:p>
      <w:pPr>
        <w:keepNext/>
      </w:pPr>
      <w:r>
        <w:rPr>
          <w:b/>
          <w:color w:val="17365D"/>
        </w:rPr>
        <w:t>POL-CR-074.09 Authority</w:t>
      </w:r>
    </w:p>
    <w:p>
      <w:pPr>
        <w:spacing w:after="100" w:line="259" w:lineRule="auto"/>
      </w:pPr>
      <w:r>
        <w:t>Approval shall reflect exposure, risk, concessions, write-down and exceptions.</w:t>
      </w:r>
    </w:p>
    <w:p>
      <w:pPr>
        <w:keepNext/>
      </w:pPr>
      <w:r>
        <w:rPr>
          <w:b/>
          <w:color w:val="17365D"/>
        </w:rPr>
        <w:t>POL-CR-074.10 Documentation</w:t>
      </w:r>
    </w:p>
    <w:p>
      <w:pPr>
        <w:spacing w:after="100" w:line="259" w:lineRule="auto"/>
      </w:pPr>
      <w:r>
        <w:t>Amended agreements, conditions, security and system terms shall reconcile to approval.</w:t>
      </w:r>
    </w:p>
    <w:p>
      <w:pPr>
        <w:keepNext/>
      </w:pPr>
      <w:r>
        <w:rPr>
          <w:b/>
          <w:color w:val="17365D"/>
        </w:rPr>
        <w:t>POL-CR-074.11 Monitoring</w:t>
      </w:r>
    </w:p>
    <w:p>
      <w:pPr>
        <w:spacing w:after="100" w:line="259" w:lineRule="auto"/>
      </w:pPr>
      <w:r>
        <w:t>Milestones, payments, covenants, business plan and cure criteria shall be tracked.</w:t>
      </w:r>
    </w:p>
    <w:p>
      <w:pPr>
        <w:keepNext/>
      </w:pPr>
      <w:r>
        <w:rPr>
          <w:b/>
          <w:color w:val="17365D"/>
        </w:rPr>
        <w:t>POL-CR-074.12 Failure</w:t>
      </w:r>
    </w:p>
    <w:p>
      <w:pPr>
        <w:spacing w:after="100" w:line="259" w:lineRule="auto"/>
      </w:pPr>
      <w:r>
        <w:t>Breach of revised terms shall trigger prompt reassessment and escalation.</w:t>
      </w:r>
    </w:p>
    <w:p>
      <w:pPr>
        <w:keepNext/>
      </w:pPr>
      <w:r>
        <w:rPr>
          <w:b/>
          <w:color w:val="17365D"/>
        </w:rPr>
        <w:t>POL-CR-074.13 AI boundary</w:t>
      </w:r>
    </w:p>
    <w:p>
      <w:pPr>
        <w:spacing w:after="100" w:line="259" w:lineRule="auto"/>
      </w:pPr>
      <w:r>
        <w:t>The agent may compare scenarios but shall not approve concessions, accounting treatment or legal terms.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RST-01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Viability assessment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Test sustainable cash flow and downside.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Special Credit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Viability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RST-02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Alternative comparison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Compare restructure, enforcement and recovery.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decision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Option analysis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RST-03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Concession calculation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Quantify modified terms and economic impact.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Finance / Credit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Concession analysis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RST-04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review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Determine forbearance, default, NPL and accounting status.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change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Risk / Finance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RST-05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Document reconciliation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Match approval, documents and systems.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At implementation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Legal /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Reconciliation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RST-06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Performance monitoring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Track revised terms and cure.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Continuous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Special Assets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Monitoring pack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Temporary liquidity gap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Viable borrower requests a short extension.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evidence, downside and classification consequences.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Unsustainable business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Revised plan remains cash-flow negative.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Do not label restructuring viable; compare recovery alternatives.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Principal concession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Proposal includes debt forgiveness.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Quantify loss and route to higher authority.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System mismatch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Booked revised installment differs from agreement.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Correct and assess customer and accounting impact.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Restructuring &amp; Modification Policy applies and cite the clause.</w:t>
      </w:r>
    </w:p>
    <w:p>
      <w:pPr>
        <w:pStyle w:val="ListBullet"/>
        <w:spacing w:after="40"/>
      </w:pPr>
      <w:r>
        <w:t>Create an evidence checklist for POL-CR-074.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74: Restructuring &amp; Modification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2026-09-10T08:42:44.7938028Z</dcterms:created>
  <dcterms:modified xsi:type="dcterms:W3CDTF">2026-09-10T08:42:44.7938028Z</dcterms:modified>
  <category/>
</coreProperties>
</file>