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75: Non-Performing Loan (NPL)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POL-CR-075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Credit Risk / Finance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exposures subject to non-performing, non-accrual, default or equivalent classification under applicable internal, accounting or regulatory frameworks.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Define NPL identification, classification, transfer, provisioning, interest treatment, monitoring, cure and reporting.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Credit exposures subject to non-performing, non-accrual, default or equivalent classification under applicable internal, accounting or regulatory frameworks.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NPL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Exposure meeting the approved non-performing definition.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Default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event under the approved prudential or internal definition.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Unlikeliness to pay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Assessment that full repayment is unlikely without realization of collateral.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Non-accrual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 under which interest recognition is suspended or modified.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Cure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Return to performing status after approved criteria and observation.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Credit Risk / Finance.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POL-CR-075.01 Definitions</w:t>
      </w:r>
    </w:p>
    <w:p>
      <w:pPr>
        <w:spacing w:after="100" w:line="259" w:lineRule="auto"/>
      </w:pPr>
      <w:r>
        <w:t>The Bank shall maintain approved NPL, default, past-due, unlikeliness-to-pay and non-accrual definitions.</w:t>
      </w:r>
    </w:p>
    <w:p>
      <w:pPr>
        <w:keepNext/>
      </w:pPr>
      <w:r>
        <w:rPr>
          <w:b/>
          <w:color w:val="17365D"/>
        </w:rPr>
        <w:t>POL-CR-075.02 Identification</w:t>
      </w:r>
    </w:p>
    <w:p>
      <w:pPr>
        <w:spacing w:after="100" w:line="259" w:lineRule="auto"/>
      </w:pPr>
      <w:r>
        <w:t>Quantitative and qualitative triggers shall be applied consistently.</w:t>
      </w:r>
    </w:p>
    <w:p>
      <w:pPr>
        <w:keepNext/>
      </w:pPr>
      <w:r>
        <w:rPr>
          <w:b/>
          <w:color w:val="17365D"/>
        </w:rPr>
        <w:t>POL-CR-075.03 Borrower/group effect</w:t>
      </w:r>
    </w:p>
    <w:p>
      <w:pPr>
        <w:spacing w:after="100" w:line="259" w:lineRule="auto"/>
      </w:pPr>
      <w:r>
        <w:t>Contagion across facilities, obligors and connected groups shall follow approved rules.</w:t>
      </w:r>
    </w:p>
    <w:p>
      <w:pPr>
        <w:keepNext/>
      </w:pPr>
      <w:r>
        <w:rPr>
          <w:b/>
          <w:color w:val="17365D"/>
        </w:rPr>
        <w:t>POL-CR-075.04 Date and history</w:t>
      </w:r>
    </w:p>
    <w:p>
      <w:pPr>
        <w:spacing w:after="100" w:line="259" w:lineRule="auto"/>
      </w:pPr>
      <w:r>
        <w:t>Classification date, trigger, reason, changes and approvals shall be retained.</w:t>
      </w:r>
    </w:p>
    <w:p>
      <w:pPr>
        <w:keepNext/>
      </w:pPr>
      <w:r>
        <w:rPr>
          <w:b/>
          <w:color w:val="17365D"/>
        </w:rPr>
        <w:t>POL-CR-075.05 Transfer</w:t>
      </w:r>
    </w:p>
    <w:p>
      <w:pPr>
        <w:spacing w:after="100" w:line="259" w:lineRule="auto"/>
      </w:pPr>
      <w:r>
        <w:t>Cases shall be routed to appropriate special-assets or recovery management.</w:t>
      </w:r>
    </w:p>
    <w:p>
      <w:pPr>
        <w:keepNext/>
      </w:pPr>
      <w:r>
        <w:rPr>
          <w:b/>
          <w:color w:val="17365D"/>
        </w:rPr>
        <w:t>POL-CR-075.06 Interest</w:t>
      </w:r>
    </w:p>
    <w:p>
      <w:pPr>
        <w:spacing w:after="100" w:line="259" w:lineRule="auto"/>
      </w:pPr>
      <w:r>
        <w:t>Accrual, suspension, reversal and cash-interest treatment shall follow approved accounting policy.</w:t>
      </w:r>
    </w:p>
    <w:p>
      <w:pPr>
        <w:keepNext/>
      </w:pPr>
      <w:r>
        <w:rPr>
          <w:b/>
          <w:color w:val="17365D"/>
        </w:rPr>
        <w:t>POL-CR-075.07 Provisioning</w:t>
      </w:r>
    </w:p>
    <w:p>
      <w:pPr>
        <w:spacing w:after="100" w:line="259" w:lineRule="auto"/>
      </w:pPr>
      <w:r>
        <w:t>ECL, specific provision, collateral and recovery assumptions shall be updated.</w:t>
      </w:r>
    </w:p>
    <w:p>
      <w:pPr>
        <w:keepNext/>
      </w:pPr>
      <w:r>
        <w:rPr>
          <w:b/>
          <w:color w:val="17365D"/>
        </w:rPr>
        <w:t>POL-CR-075.08 Collateral</w:t>
      </w:r>
    </w:p>
    <w:p>
      <w:pPr>
        <w:spacing w:after="100" w:line="259" w:lineRule="auto"/>
      </w:pPr>
      <w:r>
        <w:t>Value, enforceability, timing, costs and control shall be reassessed.</w:t>
      </w:r>
    </w:p>
    <w:p>
      <w:pPr>
        <w:keepNext/>
      </w:pPr>
      <w:r>
        <w:rPr>
          <w:b/>
          <w:color w:val="17365D"/>
        </w:rPr>
        <w:t>POL-CR-075.09 Action plan</w:t>
      </w:r>
    </w:p>
    <w:p>
      <w:pPr>
        <w:spacing w:after="100" w:line="259" w:lineRule="auto"/>
      </w:pPr>
      <w:r>
        <w:t>Each material NPL shall have workout, restructuring, enforcement or recovery strategy.</w:t>
      </w:r>
    </w:p>
    <w:p>
      <w:pPr>
        <w:keepNext/>
      </w:pPr>
      <w:r>
        <w:rPr>
          <w:b/>
          <w:color w:val="17365D"/>
        </w:rPr>
        <w:t>POL-CR-075.10 Reporting</w:t>
      </w:r>
    </w:p>
    <w:p>
      <w:pPr>
        <w:spacing w:after="100" w:line="259" w:lineRule="auto"/>
      </w:pPr>
      <w:r>
        <w:t>Exposure, cash/non-cash components, provisions, collateral, recoveries and migration shall be reported.</w:t>
      </w:r>
    </w:p>
    <w:p>
      <w:pPr>
        <w:keepNext/>
      </w:pPr>
      <w:r>
        <w:rPr>
          <w:b/>
          <w:color w:val="17365D"/>
        </w:rPr>
        <w:t>POL-CR-075.11 Cure</w:t>
      </w:r>
    </w:p>
    <w:p>
      <w:pPr>
        <w:spacing w:after="100" w:line="259" w:lineRule="auto"/>
      </w:pPr>
      <w:r>
        <w:t>Cure requires approved payment, viability, classification and observation criteria.</w:t>
      </w:r>
    </w:p>
    <w:p>
      <w:pPr>
        <w:keepNext/>
      </w:pPr>
      <w:r>
        <w:rPr>
          <w:b/>
          <w:color w:val="17365D"/>
        </w:rPr>
        <w:t>POL-CR-075.12 Write-off</w:t>
      </w:r>
    </w:p>
    <w:p>
      <w:pPr>
        <w:spacing w:after="100" w:line="259" w:lineRule="auto"/>
      </w:pPr>
      <w:r>
        <w:t>Write-off shall not automatically end recovery activity or legal rights.</w:t>
      </w:r>
    </w:p>
    <w:p>
      <w:pPr>
        <w:keepNext/>
      </w:pPr>
      <w:r>
        <w:rPr>
          <w:b/>
          <w:color w:val="17365D"/>
        </w:rPr>
        <w:t>POL-CR-075.13 AI boundary</w:t>
      </w:r>
    </w:p>
    <w:p>
      <w:pPr>
        <w:spacing w:after="100" w:line="259" w:lineRule="auto"/>
      </w:pPr>
      <w:r>
        <w:t>The agent may assemble trigger evidence but shall not autonomously classify NPL, default or cure.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NPL-01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Trigger detection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past-due and UTP events.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Continuous/reporting cycle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Credit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Trigger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NPL-02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Classification approval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Confirm date, scope and rationale.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event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Authority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Classification memo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NPL-03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Group assessment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 contagion across connected exposures.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event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Credit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Group analysis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NPL-04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Provision update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Refresh expected loss and recovery assumptions.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Reporting cycle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Finance /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Provision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NPL-05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Action plan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Approve and monitor resolution strategy.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case/periodic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Special Assets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Action plan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NPL-06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Cure validation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Confirm sustained criteria and approvals.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cure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Cure sign-off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Past-due threshold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 exceeds configured past-due criterion.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Apply classification workflow and group assessment.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UTP evidence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Borrower is current but insolvency indicators emerge.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Assess qualitative default/NPL trigger.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Temporary payment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One payment follows long default.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Do not cure without full approved criteria.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Write-off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Balance is written off but recovery remains possible.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Maintain recovery and legal records as required.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Non-Performing Loan (NPL) Policy applies and cite the clause.</w:t>
      </w:r>
    </w:p>
    <w:p>
      <w:pPr>
        <w:pStyle w:val="ListBullet"/>
        <w:spacing w:after="40"/>
      </w:pPr>
      <w:r>
        <w:t>Create an evidence checklist for POL-CR-075.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75: Non-Performing Loan (NPL)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2026-09-10T08:42:47.4860393Z</dcterms:created>
  <dcterms:modified xsi:type="dcterms:W3CDTF">2026-09-10T08:42:47.4860393Z</dcterms:modified>
  <category/>
</coreProperties>
</file>