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Policy 76: Watchlist &amp; Special Mention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Metadata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ID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POL-CR-076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Synthetic training document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Accountable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Head of Portfolio Risk / Special Credit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Version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Review cycle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Suggested annual plus material-change review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Scope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Performing or criticized credits exhibiting weaknesses that may lead to deterioration, default or loss.</w:t>
            </w:r>
          </w:p>
        </w:tc>
      </w:tr>
    </w:tbl>
    <w:p/>
    <w:p>
      <w:pPr>
        <w:pStyle w:val="Heading2"/>
        <w:keepNext/>
      </w:pPr>
      <w:r>
        <w:t>1. Purpose</w:t>
      </w:r>
    </w:p>
    <w:p>
      <w:pPr>
        <w:spacing w:after="100" w:line="259" w:lineRule="auto"/>
      </w:pPr>
      <w:r>
        <w:t>Define identification, categorization, enhanced oversight, action planning, transfer and exit for watchlist and special-mention exposures.</w:t>
      </w:r>
    </w:p>
    <w:p>
      <w:pPr>
        <w:pStyle w:val="Heading2"/>
        <w:keepNext/>
      </w:pPr>
      <w:r>
        <w:t>2. Objectives</w:t>
      </w:r>
    </w:p>
    <w:p>
      <w:pPr>
        <w:pStyle w:val="ListBullet"/>
        <w:spacing w:after="40"/>
      </w:pPr>
      <w:r>
        <w:t>Create consistent, explainable and auditable decisions.</w:t>
      </w:r>
    </w:p>
    <w:p>
      <w:pPr>
        <w:pStyle w:val="ListBullet"/>
        <w:spacing w:after="40"/>
      </w:pPr>
      <w:r>
        <w:t>Use governed data, definitions and approval authorities.</w:t>
      </w:r>
    </w:p>
    <w:p>
      <w:pPr>
        <w:pStyle w:val="ListBullet"/>
        <w:spacing w:after="40"/>
      </w:pPr>
      <w:r>
        <w:t>Identify missing, stale and conflicting evidence rather than guessing.</w:t>
      </w:r>
    </w:p>
    <w:p>
      <w:pPr>
        <w:pStyle w:val="ListBullet"/>
        <w:spacing w:after="40"/>
      </w:pPr>
      <w:r>
        <w:t>Support human accountability and portfolio-level oversight.</w:t>
      </w:r>
    </w:p>
    <w:p>
      <w:pPr>
        <w:pStyle w:val="Heading2"/>
        <w:keepNext/>
      </w:pPr>
      <w:r>
        <w:t>3. Scope and Applicability</w:t>
      </w:r>
    </w:p>
    <w:p>
      <w:pPr>
        <w:spacing w:after="100" w:line="259" w:lineRule="auto"/>
      </w:pPr>
      <w:r>
        <w:t>Performing or criticized credits exhibiting weaknesses that may lead to deterioration, default or loss.</w:t>
      </w:r>
    </w:p>
    <w:p>
      <w:pPr>
        <w:spacing w:after="100" w:line="259" w:lineRule="auto"/>
      </w:pPr>
      <w:r>
        <w:t>The production bank shall configure applicability by legal entity, customer, product, geography, materiality and jurisdiction. Stricter approved requirements prevail.</w:t>
      </w:r>
    </w:p>
    <w:p>
      <w:pPr>
        <w:pStyle w:val="Heading2"/>
        <w:keepNext/>
      </w:pPr>
      <w:r>
        <w:t>4.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Synthetic definition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Watchlist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Governed list of exposures under enhanced monitoring.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Special mention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Category for potential weakness requiring management attention.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Criticized exposure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Exposure assigned heightened risk classification under approved taxonomy.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Entry trigger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Approved event or judgment supporting enhanced oversight.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Exit criterion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Evidence required to remove or reclassify a case.</w:t>
            </w:r>
          </w:p>
        </w:tc>
      </w:tr>
    </w:tbl>
    <w:p/>
    <w:p>
      <w:pPr>
        <w:pStyle w:val="Heading2"/>
        <w:keepNext/>
      </w:pPr>
      <w:r>
        <w:t>5. Governance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Owns interpretation, change and control effectiveness. Indicative owner: Head of Portfolio Risk / Special Credit.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First line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Executes controls, validates evidence and owns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Independent 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Challenges assumptions, exceptions and material decisions.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Legal / Compliance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Advises on applicable legal, conduct and regulatory requirements.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Data / Technology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lineage, access, calculation and workflow controls.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Internal Audit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Provides independent assurance.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GenAI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grounding, testing, human review and audit logs.</w:t>
            </w:r>
          </w:p>
        </w:tc>
      </w:tr>
    </w:tbl>
    <w:p/>
    <w:p>
      <w:pPr>
        <w:pStyle w:val="Heading2"/>
        <w:keepNext/>
      </w:pPr>
      <w:r>
        <w:t>6. Detailed Policy Requirements</w:t>
      </w:r>
    </w:p>
    <w:p>
      <w:pPr>
        <w:keepNext/>
      </w:pPr>
      <w:r>
        <w:rPr>
          <w:b/>
          <w:color w:val="17365D"/>
        </w:rPr>
        <w:t>POL-CR-076.01 Entry</w:t>
      </w:r>
    </w:p>
    <w:p>
      <w:pPr>
        <w:spacing w:after="100" w:line="259" w:lineRule="auto"/>
      </w:pPr>
      <w:r>
        <w:t>Quantitative and qualitative criteria shall support timely identification.</w:t>
      </w:r>
    </w:p>
    <w:p>
      <w:pPr>
        <w:keepNext/>
      </w:pPr>
      <w:r>
        <w:rPr>
          <w:b/>
          <w:color w:val="17365D"/>
        </w:rPr>
        <w:t>POL-CR-076.02 No delay</w:t>
      </w:r>
    </w:p>
    <w:p>
      <w:pPr>
        <w:spacing w:after="100" w:line="259" w:lineRule="auto"/>
      </w:pPr>
      <w:r>
        <w:t>Revenue or relationship considerations shall not postpone classification.</w:t>
      </w:r>
    </w:p>
    <w:p>
      <w:pPr>
        <w:keepNext/>
      </w:pPr>
      <w:r>
        <w:rPr>
          <w:b/>
          <w:color w:val="17365D"/>
        </w:rPr>
        <w:t>POL-CR-076.03 Category</w:t>
      </w:r>
    </w:p>
    <w:p>
      <w:pPr>
        <w:spacing w:after="100" w:line="259" w:lineRule="auto"/>
      </w:pPr>
      <w:r>
        <w:t>Watchlist, special mention and other categories shall use approved definitions.</w:t>
      </w:r>
    </w:p>
    <w:p>
      <w:pPr>
        <w:keepNext/>
      </w:pPr>
      <w:r>
        <w:rPr>
          <w:b/>
          <w:color w:val="17365D"/>
        </w:rPr>
        <w:t>POL-CR-076.04 Assessment</w:t>
      </w:r>
    </w:p>
    <w:p>
      <w:pPr>
        <w:spacing w:after="100" w:line="259" w:lineRule="auto"/>
      </w:pPr>
      <w:r>
        <w:t>Cash flow, conduct, collateral, covenants, rating, sector, country and group risks shall be assessed.</w:t>
      </w:r>
    </w:p>
    <w:p>
      <w:pPr>
        <w:keepNext/>
      </w:pPr>
      <w:r>
        <w:rPr>
          <w:b/>
          <w:color w:val="17365D"/>
        </w:rPr>
        <w:t>POL-CR-076.05 Approval</w:t>
      </w:r>
    </w:p>
    <w:p>
      <w:pPr>
        <w:spacing w:after="100" w:line="259" w:lineRule="auto"/>
      </w:pPr>
      <w:r>
        <w:t>Entry, category change, transfer and exit shall receive authorized independent review.</w:t>
      </w:r>
    </w:p>
    <w:p>
      <w:pPr>
        <w:keepNext/>
      </w:pPr>
      <w:r>
        <w:rPr>
          <w:b/>
          <w:color w:val="17365D"/>
        </w:rPr>
        <w:t>POL-CR-076.06 Action plan</w:t>
      </w:r>
    </w:p>
    <w:p>
      <w:pPr>
        <w:spacing w:after="100" w:line="259" w:lineRule="auto"/>
      </w:pPr>
      <w:r>
        <w:t>Each case shall have owner, milestones, exposure strategy and due dates.</w:t>
      </w:r>
    </w:p>
    <w:p>
      <w:pPr>
        <w:keepNext/>
      </w:pPr>
      <w:r>
        <w:rPr>
          <w:b/>
          <w:color w:val="17365D"/>
        </w:rPr>
        <w:t>POL-CR-076.07 Exposure controls</w:t>
      </w:r>
    </w:p>
    <w:p>
      <w:pPr>
        <w:spacing w:after="100" w:line="259" w:lineRule="auto"/>
      </w:pPr>
      <w:r>
        <w:t>New money, drawdowns, renewals, releases and waivers shall follow heightened controls.</w:t>
      </w:r>
    </w:p>
    <w:p>
      <w:pPr>
        <w:keepNext/>
      </w:pPr>
      <w:r>
        <w:rPr>
          <w:b/>
          <w:color w:val="17365D"/>
        </w:rPr>
        <w:t>POL-CR-076.08 Monitoring</w:t>
      </w:r>
    </w:p>
    <w:p>
      <w:pPr>
        <w:spacing w:after="100" w:line="259" w:lineRule="auto"/>
      </w:pPr>
      <w:r>
        <w:t>Financial, behavioral and external signals shall be reviewed at increased frequency.</w:t>
      </w:r>
    </w:p>
    <w:p>
      <w:pPr>
        <w:keepNext/>
      </w:pPr>
      <w:r>
        <w:rPr>
          <w:b/>
          <w:color w:val="17365D"/>
        </w:rPr>
        <w:t>POL-CR-076.09 Accounting link</w:t>
      </w:r>
    </w:p>
    <w:p>
      <w:pPr>
        <w:spacing w:after="100" w:line="259" w:lineRule="auto"/>
      </w:pPr>
      <w:r>
        <w:t>Stage, rating, ECL, provision and NPL implications shall be evaluated.</w:t>
      </w:r>
    </w:p>
    <w:p>
      <w:pPr>
        <w:keepNext/>
      </w:pPr>
      <w:r>
        <w:rPr>
          <w:b/>
          <w:color w:val="17365D"/>
        </w:rPr>
        <w:t>POL-CR-076.10 Transfer</w:t>
      </w:r>
    </w:p>
    <w:p>
      <w:pPr>
        <w:spacing w:after="100" w:line="259" w:lineRule="auto"/>
      </w:pPr>
      <w:r>
        <w:t>Cases meeting default, NPL or special-assets criteria shall be transferred promptly.</w:t>
      </w:r>
    </w:p>
    <w:p>
      <w:pPr>
        <w:keepNext/>
      </w:pPr>
      <w:r>
        <w:rPr>
          <w:b/>
          <w:color w:val="17365D"/>
        </w:rPr>
        <w:t>POL-CR-076.11 Reporting</w:t>
      </w:r>
    </w:p>
    <w:p>
      <w:pPr>
        <w:spacing w:after="100" w:line="259" w:lineRule="auto"/>
      </w:pPr>
      <w:r>
        <w:t>Exposure, migration, age, actions, overdue items and concentrations shall be reported.</w:t>
      </w:r>
    </w:p>
    <w:p>
      <w:pPr>
        <w:keepNext/>
      </w:pPr>
      <w:r>
        <w:rPr>
          <w:b/>
          <w:color w:val="17365D"/>
        </w:rPr>
        <w:t>POL-CR-076.12 Exit</w:t>
      </w:r>
    </w:p>
    <w:p>
      <w:pPr>
        <w:spacing w:after="100" w:line="259" w:lineRule="auto"/>
      </w:pPr>
      <w:r>
        <w:t>Sustained improvement and action completion shall be evidenced; temporary cure is insufficient.</w:t>
      </w:r>
    </w:p>
    <w:p>
      <w:pPr>
        <w:keepNext/>
      </w:pPr>
      <w:r>
        <w:rPr>
          <w:b/>
          <w:color w:val="17365D"/>
        </w:rPr>
        <w:t>POL-CR-076.13 AI boundary</w:t>
      </w:r>
    </w:p>
    <w:p>
      <w:pPr>
        <w:spacing w:after="100" w:line="259" w:lineRule="auto"/>
      </w:pPr>
      <w:r>
        <w:t>The agent may rank cases and summarize evidence but shall not assign or remove classification.</w:t>
      </w:r>
    </w:p>
    <w:p>
      <w:pPr>
        <w:pStyle w:val="Heading2"/>
        <w:keepNext/>
      </w:pPr>
      <w:r>
        <w:t>7. Minimum Control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 ID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WSM-01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Trigger surveillance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Detect and route indicators.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Continuous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EWS / Monitoring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Alert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WSM-02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Entry decision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Document category, rationale and approval.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entry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Credit Risk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Classification memo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WSM-03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Action planning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Assign actions, owner and timeline.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case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RM / Special Credit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Action plan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WSM-04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Enhanced review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Update exposure, performance and mitigants.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Configured frequency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Portfolio Risk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Review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WSM-05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Accounting linkage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Reconcile rating, stage and provision.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Periodic/event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Risk / Finance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Classification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WSM-06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Exit validation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Confirm sustained improvement.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exit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Independent Risk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Exit approval</w:t>
            </w:r>
          </w:p>
        </w:tc>
      </w:tr>
    </w:tbl>
    <w:p/>
    <w:p>
      <w:pPr>
        <w:pStyle w:val="Heading2"/>
        <w:keepNext/>
      </w:pPr>
      <w:r>
        <w:t>8. Exception and Escalation Standard</w:t>
      </w:r>
    </w:p>
    <w:p>
      <w:pPr>
        <w:pStyle w:val="ListBullet"/>
        <w:spacing w:after="40"/>
      </w:pPr>
      <w:r>
        <w:t>Cite the exact policy, version, section and clause.</w:t>
      </w:r>
    </w:p>
    <w:p>
      <w:pPr>
        <w:pStyle w:val="ListBullet"/>
        <w:spacing w:after="40"/>
      </w:pPr>
      <w:r>
        <w:t>Record required rule, verified fact, source and variance.</w:t>
      </w:r>
    </w:p>
    <w:p>
      <w:pPr>
        <w:pStyle w:val="ListBullet"/>
        <w:spacing w:after="40"/>
      </w:pPr>
      <w:r>
        <w:t>Assess relevant exposure, rating, ECL, RWA, appetite, concentration, legal and conduct impacts.</w:t>
      </w:r>
    </w:p>
    <w:p>
      <w:pPr>
        <w:pStyle w:val="ListBullet"/>
        <w:spacing w:after="40"/>
      </w:pPr>
      <w:r>
        <w:t>Document rationale, mitigants, residual risk, authority, owner, conditions, expiry and closure evidence.</w:t>
      </w:r>
    </w:p>
    <w:p>
      <w:pPr>
        <w:pStyle w:val="ListBullet"/>
        <w:spacing w:after="40"/>
      </w:pPr>
      <w:r>
        <w:t>Treat missing thresholds, schedules, legal opinions or approvals as UNRESOLVED.</w:t>
      </w:r>
    </w:p>
    <w:p>
      <w:pPr>
        <w:pStyle w:val="ListBullet"/>
        <w:spacing w:after="40"/>
      </w:pPr>
      <w:r>
        <w:t>Escalate attempts to split transactions, manipulate calculations or hide a breach.</w:t>
      </w:r>
    </w:p>
    <w:p>
      <w:pPr>
        <w:pStyle w:val="Heading2"/>
        <w:keepNext/>
      </w:pPr>
      <w:r>
        <w:t>9. Monitoring and Management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Minimum information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Outcome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Population by controlled compliance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Exposure, rating, ECL, RWA, limits and concentration where applicable.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Clause, severity, owner, authority, age, due date and repeat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Data quality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Missing, stale, conflicting and manually adjusted inputs.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Control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Failures, incidents, QA results and overdue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Citation accuracy, applicability, abstention, errors and human overrides.</w:t>
            </w:r>
          </w:p>
        </w:tc>
      </w:tr>
    </w:tbl>
    <w:p/>
    <w:p>
      <w:pPr>
        <w:pStyle w:val="Heading2"/>
        <w:keepNext/>
      </w:pPr>
      <w:r>
        <w:t>10. Recordkeeping and Audit Trail</w:t>
      </w:r>
    </w:p>
    <w:p>
      <w:pPr>
        <w:spacing w:after="100" w:line="259" w:lineRule="auto"/>
      </w:pPr>
      <w:r>
        <w:t>Retain policy version, clauses, inputs, source locations, calculations, transformations, system and user actions, timestamps, model version, human review, final decision, authority, exceptions and changes under approved access and retention controls.</w:t>
      </w:r>
    </w:p>
    <w:p>
      <w:pPr>
        <w:pStyle w:val="Heading2"/>
        <w:keepNext/>
      </w:pPr>
      <w:r>
        <w:t>11. GenAI Training and Evaluation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Applicability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Explain scope and trigger evidence.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Retrieval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Cite current policy and exact clause.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Evidence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Separate verified fact, assertion, estimate, absent data and contradiction.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Calculation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Expose formula, values, units, period and source.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Draft but never approve or invent authority.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Adversarial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Reject concealment, threshold invention and approval bypass.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Human oversight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Identify required review and accountable role.</w:t>
            </w:r>
          </w:p>
        </w:tc>
      </w:tr>
    </w:tbl>
    <w:p/>
    <w:p>
      <w:pPr>
        <w:pStyle w:val="Heading2"/>
        <w:keepNext/>
      </w:pPr>
      <w:r>
        <w:t>12. Synthetic Training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Observed facts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policy-agent response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Weakening sector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Borrower remains current but sector conditions deteriorate.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Perform enhanced assessment and document decision.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Covenant breach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Financial covenant fails.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Assess category, exposure controls and action plan.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Temporary cure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One late payment is cleared after repeated issues.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Require sustained evidence before exit.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Default condition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UTP criteria are met.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Transfer to NPL/default workflow promptly.</w:t>
            </w:r>
          </w:p>
        </w:tc>
      </w:tr>
    </w:tbl>
    <w:p/>
    <w:p>
      <w:pPr>
        <w:pStyle w:val="Heading2"/>
        <w:keepNext/>
      </w:pPr>
      <w:r>
        <w:t>13. Suggested Training Prompts</w:t>
      </w:r>
    </w:p>
    <w:p>
      <w:pPr>
        <w:pStyle w:val="ListBullet"/>
        <w:spacing w:after="40"/>
      </w:pPr>
      <w:r>
        <w:t>Determine whether Watchlist &amp; Special Mention Policy applies and cite the clause.</w:t>
      </w:r>
    </w:p>
    <w:p>
      <w:pPr>
        <w:pStyle w:val="ListBullet"/>
        <w:spacing w:after="40"/>
      </w:pPr>
      <w:r>
        <w:t>Create an evidence checklist for POL-CR-076.</w:t>
      </w:r>
    </w:p>
    <w:p>
      <w:pPr>
        <w:pStyle w:val="ListBullet"/>
        <w:spacing w:after="40"/>
      </w:pPr>
      <w:r>
        <w:t>Identify compliant, non-compliant, conditional and unresolved findings.</w:t>
      </w:r>
    </w:p>
    <w:p>
      <w:pPr>
        <w:pStyle w:val="ListBullet"/>
        <w:spacing w:after="40"/>
      </w:pPr>
      <w:r>
        <w:t>Show calculations and source lineage for each material metric.</w:t>
      </w:r>
    </w:p>
    <w:p>
      <w:pPr>
        <w:pStyle w:val="ListBullet"/>
        <w:spacing w:after="40"/>
      </w:pPr>
      <w:r>
        <w:t>Draft an exception record without approving it.</w:t>
      </w:r>
    </w:p>
    <w:p>
      <w:pPr>
        <w:pStyle w:val="ListBullet"/>
        <w:spacing w:after="40"/>
      </w:pPr>
      <w:r>
        <w:t>Explain which conclusions require human review.</w:t>
      </w:r>
    </w:p>
    <w:p>
      <w:pPr>
        <w:pStyle w:val="Heading2"/>
        <w:keepNext/>
      </w:pPr>
      <w:r>
        <w:t>14. Approval, Review and Change Control</w:t>
      </w:r>
    </w:p>
    <w:p>
      <w:pPr>
        <w:spacing w:after="100" w:line="259" w:lineRule="auto"/>
      </w:pPr>
      <w:r>
        <w:t>Before production use, replace synthetic roles, formulas, criteria, thresholds, legal references and frequencies with approved values. Changes require impact assessment, approval, versioning, testing, communication and retrieval-index update. Superseded versions remain auditable but shall not be retrieved as current.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00000"/>
        <w:sz w:val="16"/>
      </w:rPr>
      <w:t xml:space="preserve">Synthetic training document | Not approved bank policy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F6B78"/>
        <w:sz w:val="16"/>
      </w:rPr>
      <w:t>SYNTHETIC TRAINING DATA | CREDIT RISK POLICY HANDBOOK VIII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8066fd-9395-4325-a4e7-856a23126b8d}" enabled="1" method="Standard" siteId="{404b1967-6507-45ab-8a6d-7374a3f47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Policy 76: Watchlist &amp; Special Mention Policy</dc:title>
  <dc:subject>Synthetic Credit Risk Policy - standalone training document</dc:subject>
  <dc:creator>Ganesh Perumal</dc:creator>
  <keywords/>
  <dc:description>Extracted from Credit Risk Policy Handbook Policies 71 to 80.</dc:description>
  <lastModifiedBy>Ganesh Perumal</lastModifiedBy>
  <revision>1</revision>
  <dcterms:created xsi:type="dcterms:W3CDTF">2026-09-10T08:42:50.4786008Z</dcterms:created>
  <dcterms:modified xsi:type="dcterms:W3CDTF">2026-09-10T08:42:50.4786008Z</dcterms:modified>
  <category/>
</coreProperties>
</file>