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77: Special Assets Management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POL-CR-077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Special Assets Management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Watchlist, criticized, restructured, non-performing, written-off and recovery exposures assigned to specialized management.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Govern transfer, strategy, authority, action execution, recovery, provision, reporting and closure of problem credits.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Watchlist, criticized, restructured, non-performing, written-off and recovery exposures assigned to specialized management.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Special assets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Distressed or heightened-risk exposures under specialized management.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Workout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Active process to preserve value and resolve distressed credit.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Transfer criteria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Approved conditions for assignment to Special Assets.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Recovery strategy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Plan for restructuring, enforcement, settlement, sale or collection.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Case chronology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Time-ordered record of events, decisions and actions.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Special Assets Management.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POL-CR-077.01 Transfer</w:t>
      </w:r>
    </w:p>
    <w:p>
      <w:pPr>
        <w:spacing w:after="100" w:line="259" w:lineRule="auto"/>
      </w:pPr>
      <w:r>
        <w:t>Cases meeting approved criteria shall be transferred with complete evidence and handoff.</w:t>
      </w:r>
    </w:p>
    <w:p>
      <w:pPr>
        <w:keepNext/>
      </w:pPr>
      <w:r>
        <w:rPr>
          <w:b/>
          <w:color w:val="17365D"/>
        </w:rPr>
        <w:t>POL-CR-077.02 Ownership</w:t>
      </w:r>
    </w:p>
    <w:p>
      <w:pPr>
        <w:spacing w:after="100" w:line="259" w:lineRule="auto"/>
      </w:pPr>
      <w:r>
        <w:t>A named case owner and independent credit authority shall be assigned.</w:t>
      </w:r>
    </w:p>
    <w:p>
      <w:pPr>
        <w:keepNext/>
      </w:pPr>
      <w:r>
        <w:rPr>
          <w:b/>
          <w:color w:val="17365D"/>
        </w:rPr>
        <w:t>POL-CR-077.03 Initial assessment</w:t>
      </w:r>
    </w:p>
    <w:p>
      <w:pPr>
        <w:spacing w:after="100" w:line="259" w:lineRule="auto"/>
      </w:pPr>
      <w:r>
        <w:t>Exposure, business viability, collateral, guarantees, legal position and stakeholders shall be assessed.</w:t>
      </w:r>
    </w:p>
    <w:p>
      <w:pPr>
        <w:keepNext/>
      </w:pPr>
      <w:r>
        <w:rPr>
          <w:b/>
          <w:color w:val="17365D"/>
        </w:rPr>
        <w:t>POL-CR-077.04 Strategy</w:t>
      </w:r>
    </w:p>
    <w:p>
      <w:pPr>
        <w:spacing w:after="100" w:line="259" w:lineRule="auto"/>
      </w:pPr>
      <w:r>
        <w:t>Restructure, stabilize, enforce, litigate, sell, settle or exit options shall be compared.</w:t>
      </w:r>
    </w:p>
    <w:p>
      <w:pPr>
        <w:keepNext/>
      </w:pPr>
      <w:r>
        <w:rPr>
          <w:b/>
          <w:color w:val="17365D"/>
        </w:rPr>
        <w:t>POL-CR-077.05 Milestones</w:t>
      </w:r>
    </w:p>
    <w:p>
      <w:pPr>
        <w:spacing w:after="100" w:line="259" w:lineRule="auto"/>
      </w:pPr>
      <w:r>
        <w:t>Actions, dependencies, owners, authority and due dates shall be documented.</w:t>
      </w:r>
    </w:p>
    <w:p>
      <w:pPr>
        <w:keepNext/>
      </w:pPr>
      <w:r>
        <w:rPr>
          <w:b/>
          <w:color w:val="17365D"/>
        </w:rPr>
        <w:t>POL-CR-077.06 New money</w:t>
      </w:r>
    </w:p>
    <w:p>
      <w:pPr>
        <w:spacing w:after="100" w:line="259" w:lineRule="auto"/>
      </w:pPr>
      <w:r>
        <w:t>Additional funding requires necessity, priority, viability, authority and downside assessment.</w:t>
      </w:r>
    </w:p>
    <w:p>
      <w:pPr>
        <w:keepNext/>
      </w:pPr>
      <w:r>
        <w:rPr>
          <w:b/>
          <w:color w:val="17365D"/>
        </w:rPr>
        <w:t>POL-CR-077.07 Collateral and legal</w:t>
      </w:r>
    </w:p>
    <w:p>
      <w:pPr>
        <w:spacing w:after="100" w:line="259" w:lineRule="auto"/>
      </w:pPr>
      <w:r>
        <w:t>Perfection, value, enforcement, limitation periods and legal actions shall be maintained.</w:t>
      </w:r>
    </w:p>
    <w:p>
      <w:pPr>
        <w:keepNext/>
      </w:pPr>
      <w:r>
        <w:rPr>
          <w:b/>
          <w:color w:val="17365D"/>
        </w:rPr>
        <w:t>POL-CR-077.08 Provisioning</w:t>
      </w:r>
    </w:p>
    <w:p>
      <w:pPr>
        <w:spacing w:after="100" w:line="259" w:lineRule="auto"/>
      </w:pPr>
      <w:r>
        <w:t>Expected loss, non-accrual, collateral and recovery assumptions shall be refreshed.</w:t>
      </w:r>
    </w:p>
    <w:p>
      <w:pPr>
        <w:keepNext/>
      </w:pPr>
      <w:r>
        <w:rPr>
          <w:b/>
          <w:color w:val="17365D"/>
        </w:rPr>
        <w:t>POL-CR-077.09 Cash control</w:t>
      </w:r>
    </w:p>
    <w:p>
      <w:pPr>
        <w:spacing w:after="100" w:line="259" w:lineRule="auto"/>
      </w:pPr>
      <w:r>
        <w:t>Collections, proceeds, suspense and allocations shall be reconciled.</w:t>
      </w:r>
    </w:p>
    <w:p>
      <w:pPr>
        <w:keepNext/>
      </w:pPr>
      <w:r>
        <w:rPr>
          <w:b/>
          <w:color w:val="17365D"/>
        </w:rPr>
        <w:t>POL-CR-077.10 Governance</w:t>
      </w:r>
    </w:p>
    <w:p>
      <w:pPr>
        <w:spacing w:after="100" w:line="259" w:lineRule="auto"/>
      </w:pPr>
      <w:r>
        <w:t>Material decisions, concessions, settlements and write-offs shall follow delegated authority.</w:t>
      </w:r>
    </w:p>
    <w:p>
      <w:pPr>
        <w:keepNext/>
      </w:pPr>
      <w:r>
        <w:rPr>
          <w:b/>
          <w:color w:val="17365D"/>
        </w:rPr>
        <w:t>POL-CR-077.11 Reporting</w:t>
      </w:r>
    </w:p>
    <w:p>
      <w:pPr>
        <w:spacing w:after="100" w:line="259" w:lineRule="auto"/>
      </w:pPr>
      <w:r>
        <w:t>Exposure, recovery, aging, strategy, legal status, provision and bottlenecks shall be reported.</w:t>
      </w:r>
    </w:p>
    <w:p>
      <w:pPr>
        <w:keepNext/>
      </w:pPr>
      <w:r>
        <w:rPr>
          <w:b/>
          <w:color w:val="17365D"/>
        </w:rPr>
        <w:t>POL-CR-077.12 Closure</w:t>
      </w:r>
    </w:p>
    <w:p>
      <w:pPr>
        <w:spacing w:after="100" w:line="259" w:lineRule="auto"/>
      </w:pPr>
      <w:r>
        <w:t>Closure shall address residual rights, records, collateral release and post-write-off recovery.</w:t>
      </w:r>
    </w:p>
    <w:p>
      <w:pPr>
        <w:keepNext/>
      </w:pPr>
      <w:r>
        <w:rPr>
          <w:b/>
          <w:color w:val="17365D"/>
        </w:rPr>
        <w:t>POL-CR-077.13 AI boundary</w:t>
      </w:r>
    </w:p>
    <w:p>
      <w:pPr>
        <w:spacing w:after="100" w:line="259" w:lineRule="auto"/>
      </w:pPr>
      <w:r>
        <w:t>The agent may create case summaries and compare options but shall not approve strategy, settlement or legal action.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SAM-01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Transfer checklist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Complete case handoff and ownership.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transfer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/ SAM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Transfer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Strategy paper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Compare options and approve plan.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case/change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 / Credit Authority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Strategy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SAM-03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tracking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Monitor milestones, dependencies and delays.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Continuous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Case 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register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Provision review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Update loss and recovery assumptions.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Reporting cycle/event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Finance / SAM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Provision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SAM-05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Cash reconciliation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Reconcile receipts and allocations.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Daily/periodic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Reconciliation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Governance reporting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Report portfolio and bottlenecks.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 Management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Portfolio pack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Viable restructure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Business can recover under revised terms.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Compare restructuring with recovery alternatives.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Collateral delay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enforcement is delayed.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Update timeline, cost and provision assumptions.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New-money request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Additional funding is required to preserve value.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priority, viability and authority.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Stalled action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Milestones are repeatedly overdue.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Escalate governance and strategy review.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Special Assets Management Policy applies and cite the clause.</w:t>
      </w:r>
    </w:p>
    <w:p>
      <w:pPr>
        <w:pStyle w:val="ListBullet"/>
        <w:spacing w:after="40"/>
      </w:pPr>
      <w:r>
        <w:t>Create an evidence checklist for POL-CR-077.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77: Special Assets Management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2026-09-10T08:42:53.4664611Z</dcterms:created>
  <dcterms:modified xsi:type="dcterms:W3CDTF">2026-09-10T08:42:53.4664611Z</dcterms:modified>
  <category/>
</coreProperties>
</file>