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78: Recovery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POL-CR-078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Head of Recoveries / Special Assets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Defaulted, terminated, written-off or otherwise recoverable credit exposures and related collateral, guarantees and legal claims.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Define recovery strategy, valuation, authority, conduct, cash control, performance measurement and closure.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Defaulted, terminated, written-off or otherwise recoverable credit exposures and related collateral, guarantees and legal claims.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Cash or value realized after delinquency, default, termination or write-off.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Recovery strategy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Approved plan to maximize net present value of recoveries.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Settlement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Authorized resolution for less than full contractual claim or on revised terms.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recovery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Recovery through court, insolvency, enforcement or equivalent process.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Post-write-off recovery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Recovery received after accounting write-off.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Head of Recoveries / Special Assets.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POL-CR-078.01 Strategy selection</w:t>
      </w:r>
    </w:p>
    <w:p>
      <w:pPr>
        <w:spacing w:after="100" w:line="259" w:lineRule="auto"/>
      </w:pPr>
      <w:r>
        <w:t>Recovery options shall be assessed by expected value, timing, cost, legal position and customer circumstances.</w:t>
      </w:r>
    </w:p>
    <w:p>
      <w:pPr>
        <w:keepNext/>
      </w:pPr>
      <w:r>
        <w:rPr>
          <w:b/>
          <w:color w:val="17365D"/>
        </w:rPr>
        <w:t>POL-CR-078.02 Claim validation</w:t>
      </w:r>
    </w:p>
    <w:p>
      <w:pPr>
        <w:spacing w:after="100" w:line="259" w:lineRule="auto"/>
      </w:pPr>
      <w:r>
        <w:t>Debt, balance, ownership, documents and limitation status shall be verified.</w:t>
      </w:r>
    </w:p>
    <w:p>
      <w:pPr>
        <w:keepNext/>
      </w:pPr>
      <w:r>
        <w:rPr>
          <w:b/>
          <w:color w:val="17365D"/>
        </w:rPr>
        <w:t>POL-CR-078.03 Collateral</w:t>
      </w:r>
    </w:p>
    <w:p>
      <w:pPr>
        <w:spacing w:after="100" w:line="259" w:lineRule="auto"/>
      </w:pPr>
      <w:r>
        <w:t>Enforceability, value, priority, insurance, possession and sale route shall be assessed.</w:t>
      </w:r>
    </w:p>
    <w:p>
      <w:pPr>
        <w:keepNext/>
      </w:pPr>
      <w:r>
        <w:rPr>
          <w:b/>
          <w:color w:val="17365D"/>
        </w:rPr>
        <w:t>POL-CR-078.04 Guarantees</w:t>
      </w:r>
    </w:p>
    <w:p>
      <w:pPr>
        <w:spacing w:after="100" w:line="259" w:lineRule="auto"/>
      </w:pPr>
      <w:r>
        <w:t>Guarantor capacity, demand requirements and competing claims shall be evaluated.</w:t>
      </w:r>
    </w:p>
    <w:p>
      <w:pPr>
        <w:keepNext/>
      </w:pPr>
      <w:r>
        <w:rPr>
          <w:b/>
          <w:color w:val="17365D"/>
        </w:rPr>
        <w:t>POL-CR-078.05 Customer treatment</w:t>
      </w:r>
    </w:p>
    <w:p>
      <w:pPr>
        <w:spacing w:after="100" w:line="259" w:lineRule="auto"/>
      </w:pPr>
      <w:r>
        <w:t>Recovery contact, notices, visits and settlements shall follow approved conduct rules.</w:t>
      </w:r>
    </w:p>
    <w:p>
      <w:pPr>
        <w:keepNext/>
      </w:pPr>
      <w:r>
        <w:rPr>
          <w:b/>
          <w:color w:val="17365D"/>
        </w:rPr>
        <w:t>POL-CR-078.06 Legal action</w:t>
      </w:r>
    </w:p>
    <w:p>
      <w:pPr>
        <w:spacing w:after="100" w:line="259" w:lineRule="auto"/>
      </w:pPr>
      <w:r>
        <w:t>Litigation, insolvency and enforcement require legal assessment and authority.</w:t>
      </w:r>
    </w:p>
    <w:p>
      <w:pPr>
        <w:keepNext/>
      </w:pPr>
      <w:r>
        <w:rPr>
          <w:b/>
          <w:color w:val="17365D"/>
        </w:rPr>
        <w:t>POL-CR-078.07 Settlement</w:t>
      </w:r>
    </w:p>
    <w:p>
      <w:pPr>
        <w:spacing w:after="100" w:line="259" w:lineRule="auto"/>
      </w:pPr>
      <w:r>
        <w:t>Discounts and concessions shall be quantified, approved and documented.</w:t>
      </w:r>
    </w:p>
    <w:p>
      <w:pPr>
        <w:keepNext/>
      </w:pPr>
      <w:r>
        <w:rPr>
          <w:b/>
          <w:color w:val="17365D"/>
        </w:rPr>
        <w:t>POL-CR-078.08 Vendors</w:t>
      </w:r>
    </w:p>
    <w:p>
      <w:pPr>
        <w:spacing w:after="100" w:line="259" w:lineRule="auto"/>
      </w:pPr>
      <w:r>
        <w:t>Law firms, agencies, valuers and auctioneers shall be controlled and monitored.</w:t>
      </w:r>
    </w:p>
    <w:p>
      <w:pPr>
        <w:keepNext/>
      </w:pPr>
      <w:r>
        <w:rPr>
          <w:b/>
          <w:color w:val="17365D"/>
        </w:rPr>
        <w:t>POL-CR-078.09 Cash handling</w:t>
      </w:r>
    </w:p>
    <w:p>
      <w:pPr>
        <w:spacing w:after="100" w:line="259" w:lineRule="auto"/>
      </w:pPr>
      <w:r>
        <w:t>Receipts, fees, expenses, allocations and suspense shall be reconciled.</w:t>
      </w:r>
    </w:p>
    <w:p>
      <w:pPr>
        <w:keepNext/>
      </w:pPr>
      <w:r>
        <w:rPr>
          <w:b/>
          <w:color w:val="17365D"/>
        </w:rPr>
        <w:t>POL-CR-078.10 Forecasting</w:t>
      </w:r>
    </w:p>
    <w:p>
      <w:pPr>
        <w:spacing w:after="100" w:line="259" w:lineRule="auto"/>
      </w:pPr>
      <w:r>
        <w:t>Expected recovery amount, timing, cost and probability shall be updated.</w:t>
      </w:r>
    </w:p>
    <w:p>
      <w:pPr>
        <w:keepNext/>
      </w:pPr>
      <w:r>
        <w:rPr>
          <w:b/>
          <w:color w:val="17365D"/>
        </w:rPr>
        <w:t>POL-CR-078.11 Performance</w:t>
      </w:r>
    </w:p>
    <w:p>
      <w:pPr>
        <w:spacing w:after="100" w:line="259" w:lineRule="auto"/>
      </w:pPr>
      <w:r>
        <w:t>Gross, net, timing, promise, settlement and channel outcomes shall be reported.</w:t>
      </w:r>
    </w:p>
    <w:p>
      <w:pPr>
        <w:keepNext/>
      </w:pPr>
      <w:r>
        <w:rPr>
          <w:b/>
          <w:color w:val="17365D"/>
        </w:rPr>
        <w:t>POL-CR-078.12 Closure</w:t>
      </w:r>
    </w:p>
    <w:p>
      <w:pPr>
        <w:spacing w:after="100" w:line="259" w:lineRule="auto"/>
      </w:pPr>
      <w:r>
        <w:t>Closure shall reflect exhausted remedies, residual rights, records and approvals.</w:t>
      </w:r>
    </w:p>
    <w:p>
      <w:pPr>
        <w:keepNext/>
      </w:pPr>
      <w:r>
        <w:rPr>
          <w:b/>
          <w:color w:val="17365D"/>
        </w:rPr>
        <w:t>POL-CR-078.13 AI boundary</w:t>
      </w:r>
    </w:p>
    <w:p>
      <w:pPr>
        <w:spacing w:after="100" w:line="259" w:lineRule="auto"/>
      </w:pPr>
      <w:r>
        <w:t>The agent may prioritize and compare scenarios but shall not contact, threaten, settle or litigate autonomously.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Claim verification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Reconcile debt, documents and legal owner.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case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Recoveries / Legal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Claim file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Strategy approval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Compare expected net recovery options.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case/change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SAM / Credit Authority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Strategy paper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Settlement 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Validate calculation, authority and release terms.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settlement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Credit / Legal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Settlement approval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Vendor oversight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Monitor conduct, cost and outcomes.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Periodic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Recoveries / TPRM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Vendor scorecard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Cash reconciliation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Reconcile recoveries and expenses.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Daily/periodic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Recovery Operations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Cash report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Forecast review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Refresh recovery timing and value.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Periodic/event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SAM / Finance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Forecast record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Settlement offer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Borrower offers partial lump sum.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Compare net value and route to settlement authority.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Weak guarantee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Guarantor has deteriorated.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Refresh capacity and recovery forecast.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Legal expiry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Limitation date is approaching.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Escalate immediate legal review.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Unallocated recovery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Cash is received without account reference.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Hold in controlled suspense and reconcile.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Recovery Policy applies and cite the clause.</w:t>
      </w:r>
    </w:p>
    <w:p>
      <w:pPr>
        <w:pStyle w:val="ListBullet"/>
        <w:spacing w:after="40"/>
      </w:pPr>
      <w:r>
        <w:t>Create an evidence checklist for POL-CR-078.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78: Recovery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2026-09-10T08:42:56.6803040Z</dcterms:created>
  <dcterms:modified xsi:type="dcterms:W3CDTF">2026-09-10T08:42:56.6803040Z</dcterms:modified>
  <category/>
</coreProperties>
</file>